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C5D9516">
      <w:pPr>
        <w:keepNext w:val="0"/>
        <w:keepLines w:val="0"/>
        <w:pageBreakBefore w:val="0"/>
        <w:widowControl w:val="0"/>
        <w:tabs>
          <w:tab w:val="left" w:pos="4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黑体" w:hAnsi="黑体" w:eastAsia="黑体" w:cs="黑体"/>
          <w:b w:val="0"/>
          <w:bCs w:val="0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44"/>
          <w:szCs w:val="44"/>
          <w:lang w:val="en-US" w:eastAsia="zh-CN"/>
        </w:rPr>
        <w:t>2025年湖南财政经济学院专升本</w:t>
      </w:r>
    </w:p>
    <w:p w14:paraId="715422D6">
      <w:pPr>
        <w:keepNext w:val="0"/>
        <w:keepLines w:val="0"/>
        <w:pageBreakBefore w:val="0"/>
        <w:widowControl w:val="0"/>
        <w:tabs>
          <w:tab w:val="left" w:pos="4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黑体" w:hAnsi="黑体" w:eastAsia="黑体" w:cs="黑体"/>
          <w:sz w:val="36"/>
          <w:szCs w:val="36"/>
          <w:lang w:eastAsia="zh-CN"/>
        </w:rPr>
      </w:pPr>
      <w:bookmarkStart w:id="8" w:name="_GoBack"/>
      <w:bookmarkEnd w:id="8"/>
      <w:r>
        <w:rPr>
          <w:rFonts w:hint="eastAsia" w:ascii="黑体" w:hAnsi="黑体" w:eastAsia="黑体" w:cs="黑体"/>
          <w:b w:val="0"/>
          <w:bCs w:val="0"/>
          <w:sz w:val="44"/>
          <w:szCs w:val="44"/>
          <w:lang w:val="en-US" w:eastAsia="zh-CN"/>
        </w:rPr>
        <w:t>旅游管理专业</w:t>
      </w:r>
      <w:r>
        <w:rPr>
          <w:rFonts w:hint="eastAsia" w:ascii="黑体" w:hAnsi="黑体" w:eastAsia="黑体" w:cs="黑体"/>
          <w:sz w:val="44"/>
          <w:szCs w:val="44"/>
          <w:lang w:eastAsia="zh-CN"/>
        </w:rPr>
        <w:t>《</w:t>
      </w:r>
      <w:r>
        <w:rPr>
          <w:rFonts w:hint="eastAsia" w:ascii="黑体" w:hAnsi="黑体" w:eastAsia="黑体" w:cs="黑体"/>
          <w:b w:val="0"/>
          <w:bCs w:val="0"/>
          <w:sz w:val="44"/>
          <w:szCs w:val="44"/>
          <w:lang w:val="en-US" w:eastAsia="zh-CN"/>
        </w:rPr>
        <w:t>旅游学综合</w:t>
      </w:r>
      <w:r>
        <w:rPr>
          <w:rFonts w:hint="eastAsia" w:ascii="黑体" w:hAnsi="黑体" w:eastAsia="黑体" w:cs="黑体"/>
          <w:sz w:val="44"/>
          <w:szCs w:val="44"/>
          <w:lang w:eastAsia="zh-CN"/>
        </w:rPr>
        <w:t>》</w:t>
      </w: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科目</w:t>
      </w:r>
      <w:r>
        <w:rPr>
          <w:rFonts w:hint="eastAsia" w:ascii="黑体" w:hAnsi="黑体" w:eastAsia="黑体" w:cs="黑体"/>
          <w:b w:val="0"/>
          <w:bCs w:val="0"/>
          <w:sz w:val="44"/>
          <w:szCs w:val="44"/>
          <w:lang w:val="en-US" w:eastAsia="zh-CN"/>
        </w:rPr>
        <w:t>考核大纲</w:t>
      </w:r>
    </w:p>
    <w:p w14:paraId="578C2958">
      <w:pPr>
        <w:jc w:val="center"/>
        <w:rPr>
          <w:rFonts w:hint="eastAsia" w:ascii="黑体" w:hAnsi="黑体" w:eastAsia="黑体" w:cs="黑体"/>
          <w:b w:val="0"/>
          <w:bCs w:val="0"/>
          <w:sz w:val="36"/>
          <w:szCs w:val="36"/>
          <w:lang w:val="en-US" w:eastAsia="zh-CN"/>
        </w:rPr>
      </w:pPr>
    </w:p>
    <w:p w14:paraId="7608A608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napToGrid/>
        <w:spacing w:line="520" w:lineRule="exact"/>
        <w:ind w:firstLine="640" w:firstLineChars="200"/>
        <w:textAlignment w:val="auto"/>
        <w:rPr>
          <w:rFonts w:hint="eastAsia" w:ascii="黑体" w:hAnsi="黑体" w:eastAsia="黑体" w:cs="黑体"/>
          <w:sz w:val="28"/>
          <w:szCs w:val="28"/>
          <w:lang w:eastAsia="zh-CN"/>
        </w:rPr>
      </w:pPr>
      <w:r>
        <w:rPr>
          <w:rFonts w:hint="eastAsia" w:ascii="黑体" w:hAnsi="黑体" w:eastAsia="黑体" w:cs="黑体"/>
          <w:kern w:val="2"/>
          <w:sz w:val="32"/>
          <w:szCs w:val="32"/>
          <w:lang w:val="en-US" w:eastAsia="zh-CN" w:bidi="ar-SA"/>
        </w:rPr>
        <w:t>一、</w:t>
      </w:r>
      <w:r>
        <w:rPr>
          <w:rFonts w:hint="eastAsia" w:ascii="黑体" w:hAnsi="黑体" w:eastAsia="黑体" w:cs="黑体"/>
          <w:sz w:val="32"/>
          <w:szCs w:val="32"/>
        </w:rPr>
        <w:t>考核目标</w:t>
      </w:r>
    </w:p>
    <w:p w14:paraId="2DCEA0D9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napToGrid/>
        <w:spacing w:line="520" w:lineRule="exact"/>
        <w:ind w:firstLine="560" w:firstLineChars="200"/>
        <w:textAlignment w:val="auto"/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《旅游学综合》主要考查考生对旅游学基础和旅游接待业的了解、理解和掌握情况。主要包括旅游业的历史沿革；旅游的概念、性质、类型和特点；旅游的基本要素；旅游组织、旅游市场和旅游的经济社会文化等影响；</w:t>
      </w:r>
      <w:bookmarkStart w:id="0" w:name="OLE_LINK7"/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旅游接待业</w:t>
      </w:r>
      <w:bookmarkEnd w:id="0"/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的含义、研究对象、发展理念；旅游接待业的市场结构、行为、绩效；旅游接待业的公共服务体系等内容。</w:t>
      </w:r>
    </w:p>
    <w:p w14:paraId="5CCB7F9D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napToGrid/>
        <w:spacing w:line="520" w:lineRule="exact"/>
        <w:ind w:left="559" w:leftChars="266" w:firstLine="0" w:firstLineChars="0"/>
        <w:textAlignment w:val="auto"/>
        <w:rPr>
          <w:rFonts w:hint="eastAsia" w:ascii="黑体" w:hAnsi="黑体" w:eastAsia="黑体" w:cs="黑体"/>
          <w:sz w:val="28"/>
          <w:szCs w:val="28"/>
          <w:lang w:eastAsia="zh-CN"/>
        </w:rPr>
      </w:pPr>
      <w:r>
        <w:rPr>
          <w:rFonts w:hint="eastAsia" w:ascii="黑体" w:hAnsi="黑体" w:eastAsia="黑体" w:cs="黑体"/>
          <w:sz w:val="32"/>
          <w:szCs w:val="32"/>
        </w:rPr>
        <w:t>二、考核内容</w:t>
      </w:r>
    </w:p>
    <w:p w14:paraId="6DB07840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napToGrid/>
        <w:spacing w:line="520" w:lineRule="exact"/>
        <w:ind w:firstLine="560" w:firstLineChars="200"/>
        <w:textAlignment w:val="auto"/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</w:pPr>
      <w:bookmarkStart w:id="1" w:name="OLE_LINK2"/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《旅游学综合》考核内容包括《旅游学概论》和《旅游接待业》两个模块。</w:t>
      </w:r>
    </w:p>
    <w:p w14:paraId="6C51381D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napToGrid/>
        <w:spacing w:line="520" w:lineRule="exact"/>
        <w:ind w:firstLine="560" w:firstLineChars="200"/>
        <w:textAlignment w:val="auto"/>
        <w:rPr>
          <w:rFonts w:hint="default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模块一：旅游学概论</w:t>
      </w:r>
    </w:p>
    <w:bookmarkEnd w:id="1"/>
    <w:p w14:paraId="0F2DBDB2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napToGrid/>
        <w:spacing w:line="520" w:lineRule="exact"/>
        <w:ind w:firstLine="560" w:firstLineChars="200"/>
        <w:textAlignment w:val="auto"/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第一章 旅游发展的历史沿革</w:t>
      </w:r>
    </w:p>
    <w:p w14:paraId="7445A6FB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napToGrid/>
        <w:spacing w:line="52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1</w:t>
      </w:r>
      <w:bookmarkStart w:id="2" w:name="OLE_LINK1"/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.19世纪以前的旅行活动</w:t>
      </w:r>
      <w:bookmarkEnd w:id="2"/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；</w:t>
      </w:r>
    </w:p>
    <w:p w14:paraId="04FA35D9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napToGrid/>
        <w:spacing w:line="52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  <w:t>2.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近代旅游与旅游业的开端；</w:t>
      </w:r>
    </w:p>
    <w:p w14:paraId="0ABF5168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napToGrid/>
        <w:spacing w:line="520" w:lineRule="exact"/>
        <w:ind w:left="0" w:leftChars="0"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  <w:t>3.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现代旅游的兴起；</w:t>
      </w:r>
    </w:p>
    <w:p w14:paraId="7E472EA4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napToGrid/>
        <w:spacing w:line="52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4.21世纪旅游的发展。</w:t>
      </w:r>
    </w:p>
    <w:p w14:paraId="3E79FFB5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napToGrid/>
        <w:spacing w:line="52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第二章 旅游活动</w:t>
      </w:r>
    </w:p>
    <w:p w14:paraId="7FEFFB96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napToGrid/>
        <w:spacing w:line="52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1</w:t>
      </w:r>
      <w:bookmarkStart w:id="3" w:name="OLE_LINK3"/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.旅游活动</w:t>
      </w:r>
      <w:bookmarkEnd w:id="3"/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的定义与构成要素；</w:t>
      </w:r>
    </w:p>
    <w:p w14:paraId="43D7F9B1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napToGrid/>
        <w:spacing w:line="52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2.旅游活动的类型与性质；</w:t>
      </w:r>
    </w:p>
    <w:p w14:paraId="58F35762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napToGrid/>
        <w:spacing w:line="52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3.旅游活动的特点。</w:t>
      </w:r>
    </w:p>
    <w:p w14:paraId="56A6E42A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napToGrid/>
        <w:spacing w:line="520" w:lineRule="exact"/>
        <w:ind w:firstLine="560" w:firstLineChars="200"/>
        <w:textAlignment w:val="auto"/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第三章 旅游者</w:t>
      </w:r>
    </w:p>
    <w:p w14:paraId="3900BC5F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napToGrid/>
        <w:spacing w:line="52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1.旅游者的定义和分类；</w:t>
      </w:r>
    </w:p>
    <w:p w14:paraId="03B954F6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napToGrid/>
        <w:spacing w:line="52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2.实现个人旅游需求的主（客）观条件；</w:t>
      </w:r>
    </w:p>
    <w:p w14:paraId="57520FD6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napToGrid/>
        <w:spacing w:line="52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3.旅游行为。</w:t>
      </w:r>
    </w:p>
    <w:p w14:paraId="552C5388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napToGrid/>
        <w:spacing w:line="52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第四章 旅游资源</w:t>
      </w:r>
    </w:p>
    <w:p w14:paraId="4437EA1F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napToGrid/>
        <w:spacing w:line="52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1.旅游资源的定义、分类、特征和价值决定；</w:t>
      </w:r>
    </w:p>
    <w:p w14:paraId="26D85514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napToGrid/>
        <w:spacing w:line="52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2.旅游资源开发的含义、必要性、评价依据和开发原则。</w:t>
      </w:r>
    </w:p>
    <w:p w14:paraId="17AF595B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napToGrid/>
        <w:spacing w:line="520" w:lineRule="exact"/>
        <w:ind w:firstLine="560" w:firstLineChars="200"/>
        <w:textAlignment w:val="auto"/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第五章 旅游业</w:t>
      </w:r>
    </w:p>
    <w:p w14:paraId="0A743EE8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napToGrid/>
        <w:spacing w:line="52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1.掌握旅游业的构成与基本特征；</w:t>
      </w:r>
    </w:p>
    <w:p w14:paraId="7C067528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napToGrid/>
        <w:spacing w:line="52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2.旅行社的定义与类型；</w:t>
      </w:r>
    </w:p>
    <w:p w14:paraId="42751789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napToGrid/>
        <w:spacing w:line="52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3.饭店的分类、等级划分与评定；</w:t>
      </w:r>
    </w:p>
    <w:p w14:paraId="6180B951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napToGrid/>
        <w:spacing w:line="52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4.整体旅游产品的概念和特点；</w:t>
      </w:r>
    </w:p>
    <w:p w14:paraId="0BD990A4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napToGrid/>
        <w:spacing w:line="52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5.旅游交通的作用和影响游客选择旅游交通的因素；</w:t>
      </w:r>
    </w:p>
    <w:p w14:paraId="1A667B0E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napToGrid/>
        <w:spacing w:line="52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6.旅游景点概念与类型。</w:t>
      </w:r>
    </w:p>
    <w:p w14:paraId="4CDD582C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napToGrid/>
        <w:spacing w:line="52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第六章 旅游组织</w:t>
      </w:r>
    </w:p>
    <w:p w14:paraId="599A712C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napToGrid/>
        <w:spacing w:line="52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1.我国的旅游行政组织和旅游行业组织；</w:t>
      </w:r>
    </w:p>
    <w:p w14:paraId="35459A54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napToGrid/>
        <w:spacing w:line="52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2.旅游相关的国际旅游组织。</w:t>
      </w:r>
    </w:p>
    <w:p w14:paraId="4C294891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napToGrid/>
        <w:spacing w:line="52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bookmarkStart w:id="4" w:name="OLE_LINK8"/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第七章 旅游市场</w:t>
      </w:r>
    </w:p>
    <w:p w14:paraId="03DFCBAF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napToGrid/>
        <w:spacing w:line="52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1.旅游市场细分的概念与依据；</w:t>
      </w:r>
    </w:p>
    <w:p w14:paraId="0E2528F7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napToGrid/>
        <w:spacing w:line="52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2.国际旅游流的地理分布格局、规律和发展趋势；</w:t>
      </w:r>
    </w:p>
    <w:bookmarkEnd w:id="4"/>
    <w:p w14:paraId="1D3B8EB2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napToGrid/>
        <w:spacing w:line="52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3.中国主要入境旅游客源市场；</w:t>
      </w:r>
    </w:p>
    <w:p w14:paraId="165A811A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napToGrid/>
        <w:spacing w:line="52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4.国内旅游市场的基本特征；</w:t>
      </w:r>
    </w:p>
    <w:p w14:paraId="0105795A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napToGrid/>
        <w:spacing w:line="52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5.中国出境旅游活动的分类和基本特点。</w:t>
      </w:r>
    </w:p>
    <w:p w14:paraId="5BDBB192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napToGrid/>
        <w:spacing w:line="52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第八章 旅游影响</w:t>
      </w:r>
    </w:p>
    <w:p w14:paraId="5D692F3B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napToGrid/>
        <w:spacing w:line="52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1.旅游对目的地经济、社会文化和环境的正面和负面影响；</w:t>
      </w:r>
    </w:p>
    <w:p w14:paraId="6EC16E70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napToGrid/>
        <w:spacing w:line="520" w:lineRule="exact"/>
        <w:ind w:left="559" w:leftChars="266" w:firstLine="0" w:firstLineChars="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2.旅游乘数的定义、分类和影响旅游乘数效应的因素；</w:t>
      </w:r>
    </w:p>
    <w:p w14:paraId="4DFA8EE1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napToGrid/>
        <w:spacing w:line="520" w:lineRule="exact"/>
        <w:ind w:left="559" w:leftChars="266" w:firstLine="0" w:firstLineChars="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3.可持续旅游的含义。</w:t>
      </w:r>
    </w:p>
    <w:p w14:paraId="5C115E10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napToGrid/>
        <w:spacing w:line="520" w:lineRule="exact"/>
        <w:ind w:firstLine="560" w:firstLineChars="200"/>
        <w:textAlignment w:val="auto"/>
        <w:rPr>
          <w:rFonts w:hint="default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模块二：旅游接待业</w:t>
      </w:r>
    </w:p>
    <w:p w14:paraId="5293513E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napToGrid/>
        <w:spacing w:line="52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第一章 旅游接待业研究导论</w:t>
      </w:r>
    </w:p>
    <w:p w14:paraId="50D2DCCC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napToGrid/>
        <w:spacing w:line="520" w:lineRule="exact"/>
        <w:ind w:left="559" w:leftChars="266" w:firstLine="0" w:firstLineChars="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1.旅游接待业的研究对象；</w:t>
      </w:r>
    </w:p>
    <w:p w14:paraId="0CC73280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napToGrid/>
        <w:spacing w:line="520" w:lineRule="exact"/>
        <w:ind w:left="559" w:leftChars="266" w:firstLine="0" w:firstLineChars="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2.旅游接待业研究的理论意义与实践价值；</w:t>
      </w:r>
    </w:p>
    <w:p w14:paraId="03DB7C17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napToGrid/>
        <w:spacing w:line="520" w:lineRule="exact"/>
        <w:ind w:left="559" w:leftChars="266" w:firstLine="0" w:firstLineChars="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3.旅游接待业的研究方法。</w:t>
      </w:r>
    </w:p>
    <w:p w14:paraId="6EFF4A73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napToGrid/>
        <w:spacing w:line="52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第二章 旅游接待业发展的特点、标杆与环境趋势</w:t>
      </w:r>
    </w:p>
    <w:p w14:paraId="6BB19957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napToGrid/>
        <w:spacing w:line="520" w:lineRule="exact"/>
        <w:ind w:left="559" w:leftChars="266" w:firstLine="0" w:firstLineChars="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1</w:t>
      </w:r>
      <w:bookmarkStart w:id="5" w:name="OLE_LINK4"/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.旅游接待业发展的特点</w:t>
      </w:r>
      <w:bookmarkEnd w:id="5"/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；</w:t>
      </w:r>
    </w:p>
    <w:p w14:paraId="554D5917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napToGrid/>
        <w:spacing w:line="520" w:lineRule="exact"/>
        <w:ind w:left="559" w:leftChars="266" w:firstLine="0" w:firstLineChars="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2</w:t>
      </w:r>
      <w:bookmarkStart w:id="6" w:name="OLE_LINK5"/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.旅游接待业发展的标杆</w:t>
      </w:r>
      <w:bookmarkEnd w:id="6"/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；</w:t>
      </w:r>
    </w:p>
    <w:p w14:paraId="5D991314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napToGrid/>
        <w:spacing w:line="520" w:lineRule="exact"/>
        <w:ind w:left="559" w:leftChars="266" w:firstLine="0" w:firstLineChars="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3.旅游接待业发展的环境趋势。</w:t>
      </w:r>
    </w:p>
    <w:p w14:paraId="75B61F32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napToGrid/>
        <w:spacing w:line="520" w:lineRule="exact"/>
        <w:ind w:left="559" w:leftChars="266" w:firstLine="0" w:firstLineChars="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第三章 旅游接待业发展的理念模式与要求路径</w:t>
      </w:r>
    </w:p>
    <w:p w14:paraId="626E2654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napToGrid/>
        <w:spacing w:line="520" w:lineRule="exact"/>
        <w:ind w:left="559" w:leftChars="266" w:firstLine="0" w:firstLineChars="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1.旅游接待业发展的理念与模式；</w:t>
      </w:r>
    </w:p>
    <w:p w14:paraId="571FB29D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napToGrid/>
        <w:spacing w:line="520" w:lineRule="exact"/>
        <w:ind w:left="559" w:leftChars="266" w:firstLine="0" w:firstLineChars="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2.将旅游接待业培育成战略性支柱产业的要求与路径。</w:t>
      </w:r>
    </w:p>
    <w:p w14:paraId="243BF563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napToGrid/>
        <w:spacing w:line="520" w:lineRule="exact"/>
        <w:ind w:left="559" w:leftChars="266" w:firstLine="0" w:firstLineChars="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第四章 旅游接待业的统计体系</w:t>
      </w:r>
    </w:p>
    <w:p w14:paraId="791F6E8F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napToGrid/>
        <w:spacing w:line="520" w:lineRule="exact"/>
        <w:ind w:left="559" w:leftChars="266" w:firstLine="0" w:firstLineChars="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1.中外旅游接待业统计体系建设目的、功能、理论与原则；</w:t>
      </w:r>
    </w:p>
    <w:p w14:paraId="1E24D6E8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napToGrid/>
        <w:spacing w:line="520" w:lineRule="exact"/>
        <w:ind w:left="559" w:leftChars="266" w:firstLine="0" w:firstLineChars="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2.中外旅游接待业统计统计内容与指标体系；</w:t>
      </w:r>
    </w:p>
    <w:p w14:paraId="30AF9492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napToGrid/>
        <w:spacing w:line="520" w:lineRule="exact"/>
        <w:ind w:left="559" w:leftChars="266" w:firstLine="0" w:firstLineChars="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3.中外旅游统计组织体制、工作制度。</w:t>
      </w:r>
    </w:p>
    <w:p w14:paraId="6D0C8614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napToGrid/>
        <w:spacing w:line="520" w:lineRule="exact"/>
        <w:ind w:left="559" w:leftChars="266" w:firstLine="0" w:firstLineChars="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第五章 旅游接待业的市场结构、行为与绩效</w:t>
      </w:r>
    </w:p>
    <w:p w14:paraId="59CF677F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napToGrid/>
        <w:spacing w:line="520" w:lineRule="exact"/>
        <w:ind w:left="559" w:leftChars="266" w:firstLine="0" w:firstLineChars="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1.旅游接待业市场结构的基本类型及主要影响因素；</w:t>
      </w:r>
    </w:p>
    <w:p w14:paraId="058040C3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napToGrid/>
        <w:spacing w:line="520" w:lineRule="exact"/>
        <w:ind w:left="559" w:leftChars="266" w:firstLine="0" w:firstLineChars="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2.游接待业市场行为的分析框架；</w:t>
      </w:r>
    </w:p>
    <w:p w14:paraId="18343E1C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napToGrid/>
        <w:spacing w:line="520" w:lineRule="exact"/>
        <w:ind w:left="559" w:leftChars="266" w:firstLine="0" w:firstLineChars="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3.旅游接待业市场绩效的评估方法。</w:t>
      </w:r>
    </w:p>
    <w:p w14:paraId="2B700F76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napToGrid/>
        <w:spacing w:line="520" w:lineRule="exact"/>
        <w:ind w:left="559" w:leftChars="266" w:firstLine="0" w:firstLineChars="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bookmarkStart w:id="7" w:name="OLE_LINK6"/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第六章 旅游接待业的结构与优化</w:t>
      </w:r>
    </w:p>
    <w:bookmarkEnd w:id="7"/>
    <w:p w14:paraId="75A9AE98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napToGrid/>
        <w:spacing w:line="520" w:lineRule="exact"/>
        <w:ind w:left="559" w:leftChars="266" w:firstLine="0" w:firstLineChars="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1.旅游接待业结构合理化、高级化与融合化；</w:t>
      </w:r>
    </w:p>
    <w:p w14:paraId="0E1D4111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napToGrid/>
        <w:spacing w:line="520" w:lineRule="exact"/>
        <w:ind w:left="559" w:leftChars="266" w:firstLine="0" w:firstLineChars="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2.旅游接待业的供给侧结构性改革。</w:t>
      </w:r>
    </w:p>
    <w:p w14:paraId="4A56AD73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napToGrid/>
        <w:spacing w:line="520" w:lineRule="exact"/>
        <w:ind w:left="559" w:leftChars="266" w:firstLine="0" w:firstLineChars="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第七章 旅游接待业的公共服务体系</w:t>
      </w:r>
    </w:p>
    <w:p w14:paraId="19D941C3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napToGrid/>
        <w:spacing w:line="520" w:lineRule="exact"/>
        <w:ind w:left="559" w:leftChars="266" w:firstLine="0" w:firstLineChars="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1.旅游接待业公共服务体系构建的理论基础；</w:t>
      </w:r>
    </w:p>
    <w:p w14:paraId="54AE342C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napToGrid/>
        <w:spacing w:line="520" w:lineRule="exact"/>
        <w:ind w:left="559" w:leftChars="266" w:firstLine="0" w:firstLineChars="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2.旅游接待业公共服务体系的最佳实践与优化策略；</w:t>
      </w:r>
    </w:p>
    <w:p w14:paraId="43E4DCFD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napToGrid/>
        <w:spacing w:line="520" w:lineRule="exact"/>
        <w:ind w:left="559" w:leftChars="266" w:firstLine="0" w:firstLineChars="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3.游接待业规划的思路和内容及市场治理机制。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br w:type="textWrapping"/>
      </w:r>
      <w:r>
        <w:rPr>
          <w:rFonts w:hint="eastAsia" w:ascii="黑体" w:hAnsi="黑体" w:eastAsia="黑体" w:cs="黑体"/>
          <w:sz w:val="32"/>
          <w:szCs w:val="32"/>
        </w:rPr>
        <w:t>三、课程考核实施要求</w:t>
      </w:r>
      <w:r>
        <w:rPr>
          <w:rFonts w:hint="eastAsia" w:ascii="黑体" w:hAnsi="黑体" w:eastAsia="黑体" w:cs="黑体"/>
          <w:sz w:val="32"/>
          <w:szCs w:val="32"/>
        </w:rPr>
        <w:br w:type="textWrapping"/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一）</w:t>
      </w:r>
      <w:r>
        <w:rPr>
          <w:rFonts w:hint="eastAsia" w:ascii="仿宋_GB2312" w:hAnsi="仿宋_GB2312" w:eastAsia="仿宋_GB2312" w:cs="仿宋_GB2312"/>
          <w:sz w:val="28"/>
          <w:szCs w:val="28"/>
        </w:rPr>
        <w:t>考核方式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     </w:t>
      </w:r>
    </w:p>
    <w:p w14:paraId="2BA4738F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napToGrid/>
        <w:spacing w:line="520" w:lineRule="exact"/>
        <w:ind w:left="559" w:leftChars="266" w:firstLine="0" w:firstLineChars="0"/>
        <w:textAlignment w:val="auto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本命题考试为专升本学生适用，考核方式为闭卷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笔试</w:t>
      </w:r>
      <w:r>
        <w:rPr>
          <w:rFonts w:hint="eastAsia" w:ascii="仿宋_GB2312" w:hAnsi="仿宋_GB2312" w:eastAsia="仿宋_GB2312" w:cs="仿宋_GB2312"/>
          <w:sz w:val="28"/>
          <w:szCs w:val="28"/>
        </w:rPr>
        <w:t>。</w:t>
      </w:r>
    </w:p>
    <w:p w14:paraId="6806C8D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/>
        <w:spacing w:line="520" w:lineRule="exact"/>
        <w:ind w:left="559" w:leftChars="266" w:firstLine="0" w:firstLineChars="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（二）考试时长:150分钟。</w:t>
      </w:r>
    </w:p>
    <w:p w14:paraId="425D1EB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/>
        <w:spacing w:line="520" w:lineRule="exact"/>
        <w:ind w:left="559" w:leftChars="266" w:firstLine="0" w:firstLineChars="0"/>
        <w:textAlignment w:val="auto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三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28"/>
          <w:szCs w:val="28"/>
        </w:rPr>
        <w:t>考试命题</w:t>
      </w:r>
    </w:p>
    <w:p w14:paraId="4A20AB0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/>
        <w:spacing w:line="52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1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sz w:val="28"/>
          <w:szCs w:val="28"/>
        </w:rPr>
        <w:t>考核大纲命题内容覆盖教材的主要内容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。</w:t>
      </w:r>
    </w:p>
    <w:p w14:paraId="550BD12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/>
        <w:spacing w:line="52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2.科目分值：满分值200分。</w:t>
      </w:r>
    </w:p>
    <w:p w14:paraId="23F04AB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/>
        <w:spacing w:line="52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3.</w:t>
      </w:r>
      <w:r>
        <w:rPr>
          <w:rFonts w:hint="eastAsia" w:ascii="仿宋_GB2312" w:hAnsi="仿宋_GB2312" w:eastAsia="仿宋_GB2312" w:cs="仿宋_GB2312"/>
          <w:sz w:val="28"/>
          <w:szCs w:val="28"/>
        </w:rPr>
        <w:t>考试题型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包括</w:t>
      </w:r>
      <w:r>
        <w:rPr>
          <w:rFonts w:hint="eastAsia" w:ascii="仿宋_GB2312" w:hAnsi="仿宋_GB2312" w:eastAsia="仿宋_GB2312" w:cs="仿宋_GB2312"/>
          <w:sz w:val="28"/>
          <w:szCs w:val="28"/>
        </w:rPr>
        <w:t>五种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类型</w:t>
      </w:r>
      <w:r>
        <w:rPr>
          <w:rFonts w:hint="eastAsia" w:ascii="仿宋_GB2312" w:hAnsi="仿宋_GB2312" w:eastAsia="仿宋_GB2312" w:cs="仿宋_GB2312"/>
          <w:sz w:val="28"/>
          <w:szCs w:val="28"/>
        </w:rPr>
        <w:t>：选择题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40分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28"/>
          <w:szCs w:val="28"/>
        </w:rPr>
        <w:t>、填空题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30分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28"/>
          <w:szCs w:val="28"/>
        </w:rPr>
        <w:t>、判断题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30分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28"/>
          <w:szCs w:val="28"/>
        </w:rPr>
        <w:t>、简答题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40分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28"/>
          <w:szCs w:val="28"/>
        </w:rPr>
        <w:t>、案例分析题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60分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28"/>
          <w:szCs w:val="28"/>
        </w:rPr>
        <w:t>。</w:t>
      </w:r>
    </w:p>
    <w:p w14:paraId="23B6A98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/>
        <w:spacing w:line="520" w:lineRule="exact"/>
        <w:ind w:firstLine="420" w:firstLineChars="200"/>
        <w:textAlignment w:val="auto"/>
        <w:rPr>
          <w:rFonts w:hint="eastAsia"/>
          <w:sz w:val="32"/>
          <w:szCs w:val="32"/>
        </w:rPr>
      </w:pPr>
      <w:r>
        <w:rPr>
          <w:rFonts w:hint="eastAsia"/>
          <w:lang w:val="en-US" w:eastAsia="zh-CN"/>
        </w:rPr>
        <w:t xml:space="preserve">   </w:t>
      </w:r>
      <w:r>
        <w:rPr>
          <w:rFonts w:hint="eastAsia" w:ascii="黑体" w:hAnsi="黑体" w:eastAsia="黑体" w:cs="黑体"/>
          <w:sz w:val="32"/>
          <w:szCs w:val="32"/>
        </w:rPr>
        <w:t>四、教材和参考书</w:t>
      </w:r>
    </w:p>
    <w:p w14:paraId="429DAE1F">
      <w:pPr>
        <w:pStyle w:val="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52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  <w:t>（一）教材</w:t>
      </w:r>
    </w:p>
    <w:p w14:paraId="2A0AE0F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/>
        <w:spacing w:line="52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李天元、张朝枝、白凯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Hans"/>
        </w:rPr>
        <w:t>.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旅游学（第四版）[M].北京：高等教育出版社，2019年.</w:t>
      </w:r>
    </w:p>
    <w:p w14:paraId="199E1F4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/>
        <w:spacing w:line="52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何建民.旅游接待业——理论、方法与实践[M]. 重庆：重庆大学出版社，2019年.</w:t>
      </w:r>
    </w:p>
    <w:p w14:paraId="65034D1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/>
        <w:spacing w:line="52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二）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  <w:t>参考书目</w:t>
      </w:r>
    </w:p>
    <w:p w14:paraId="0B49B87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/>
        <w:spacing w:line="52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Hans"/>
        </w:rPr>
        <w:t>邓爱民</w:t>
      </w:r>
      <w:r>
        <w:rPr>
          <w:rFonts w:hint="eastAsia" w:ascii="仿宋_GB2312" w:hAnsi="仿宋_GB2312" w:eastAsia="仿宋_GB2312" w:cs="仿宋_GB2312"/>
          <w:sz w:val="28"/>
          <w:szCs w:val="28"/>
          <w:lang w:eastAsia="zh-Hans"/>
        </w:rPr>
        <w:t>.</w:t>
      </w:r>
      <w:r>
        <w:rPr>
          <w:rFonts w:hint="eastAsia" w:ascii="仿宋_GB2312" w:hAnsi="仿宋_GB2312" w:eastAsia="仿宋_GB2312" w:cs="仿宋_GB2312"/>
          <w:sz w:val="28"/>
          <w:szCs w:val="28"/>
        </w:rPr>
        <w:t>旅游学概论（第二版）[M].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Hans"/>
        </w:rPr>
        <w:t>武汉</w:t>
      </w:r>
      <w:r>
        <w:rPr>
          <w:rFonts w:hint="eastAsia" w:ascii="仿宋_GB2312" w:hAnsi="仿宋_GB2312" w:eastAsia="仿宋_GB2312" w:cs="仿宋_GB2312"/>
          <w:sz w:val="28"/>
          <w:szCs w:val="28"/>
        </w:rPr>
        <w:t>：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Hans"/>
        </w:rPr>
        <w:t>华中科技</w:t>
      </w:r>
      <w:r>
        <w:rPr>
          <w:rFonts w:hint="eastAsia" w:ascii="仿宋_GB2312" w:hAnsi="仿宋_GB2312" w:eastAsia="仿宋_GB2312" w:cs="仿宋_GB2312"/>
          <w:sz w:val="28"/>
          <w:szCs w:val="28"/>
        </w:rPr>
        <w:t>大学出版社，2022年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.</w:t>
      </w:r>
    </w:p>
    <w:p w14:paraId="6FD3149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/>
        <w:spacing w:line="520" w:lineRule="exact"/>
        <w:ind w:firstLine="560" w:firstLineChars="200"/>
        <w:textAlignment w:val="auto"/>
        <w:rPr>
          <w:rFonts w:hint="eastAsia" w:ascii="Times New Roman" w:hAnsi="Times New Roman" w:eastAsia="仿宋_GB2312" w:cs="Times New Roman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马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Hans"/>
        </w:rPr>
        <w:t>勇. 旅游接待业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[M]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Hans"/>
        </w:rPr>
        <w:t>. 武汉：华中科技大学出版社，2018年</w:t>
      </w:r>
      <w:r>
        <w:rPr>
          <w:rFonts w:hint="eastAsia" w:ascii="Times New Roman" w:hAnsi="Times New Roman" w:eastAsia="仿宋_GB2312" w:cs="Times New Roman"/>
          <w:sz w:val="28"/>
          <w:szCs w:val="28"/>
          <w:lang w:val="en-US" w:eastAsia="zh-CN"/>
        </w:rPr>
        <w:t>.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QwM2JlOWYwYzBmYjNjMmI5ODNjZDQyMzJlMWYxZGUifQ=="/>
    <w:docVar w:name="KSO_WPS_MARK_KEY" w:val="f1385a6c-b55a-452b-a26d-353fca9fb599"/>
  </w:docVars>
  <w:rsids>
    <w:rsidRoot w:val="32A61C82"/>
    <w:rsid w:val="02021905"/>
    <w:rsid w:val="03C44108"/>
    <w:rsid w:val="05656433"/>
    <w:rsid w:val="0F3020DD"/>
    <w:rsid w:val="16163C10"/>
    <w:rsid w:val="175E0B06"/>
    <w:rsid w:val="1ADB61A2"/>
    <w:rsid w:val="1C4878E2"/>
    <w:rsid w:val="20B971DB"/>
    <w:rsid w:val="2190618E"/>
    <w:rsid w:val="24150BCD"/>
    <w:rsid w:val="245E4322"/>
    <w:rsid w:val="26527EB6"/>
    <w:rsid w:val="265F6106"/>
    <w:rsid w:val="329D4BAF"/>
    <w:rsid w:val="32A61C82"/>
    <w:rsid w:val="33707BCD"/>
    <w:rsid w:val="39B03C12"/>
    <w:rsid w:val="3C6F099F"/>
    <w:rsid w:val="3C836BC3"/>
    <w:rsid w:val="3D7D6FB0"/>
    <w:rsid w:val="3D9F17DB"/>
    <w:rsid w:val="4114266E"/>
    <w:rsid w:val="458319E2"/>
    <w:rsid w:val="4ED96B17"/>
    <w:rsid w:val="4EEE4370"/>
    <w:rsid w:val="50D643AB"/>
    <w:rsid w:val="57437223"/>
    <w:rsid w:val="576E6C02"/>
    <w:rsid w:val="58951D01"/>
    <w:rsid w:val="61E247B1"/>
    <w:rsid w:val="620A72F9"/>
    <w:rsid w:val="64682077"/>
    <w:rsid w:val="65CD0D2C"/>
    <w:rsid w:val="667751CE"/>
    <w:rsid w:val="6679056C"/>
    <w:rsid w:val="68D128E1"/>
    <w:rsid w:val="68DC3034"/>
    <w:rsid w:val="6A246A40"/>
    <w:rsid w:val="6CB830A3"/>
    <w:rsid w:val="78106856"/>
    <w:rsid w:val="78617B3F"/>
    <w:rsid w:val="79815FAC"/>
    <w:rsid w:val="7A4078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0"/>
    <w:pPr>
      <w:ind w:left="300"/>
    </w:pPr>
    <w:rPr>
      <w:rFonts w:ascii="Times New Roman" w:hAnsi="Times New Roman" w:eastAsia="宋体" w:cs="Times New Roman"/>
      <w:sz w:val="30"/>
    </w:rPr>
  </w:style>
  <w:style w:type="paragraph" w:styleId="3">
    <w:name w:val="HTML Preformatted"/>
    <w:basedOn w:val="1"/>
    <w:qFormat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黑体" w:hAnsi="Courier New" w:eastAsia="黑体" w:cs="Times New Roman"/>
      <w:kern w:val="0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1459</Words>
  <Characters>1550</Characters>
  <Lines>0</Lines>
  <Paragraphs>0</Paragraphs>
  <TotalTime>4</TotalTime>
  <ScaleCrop>false</ScaleCrop>
  <LinksUpToDate>false</LinksUpToDate>
  <CharactersWithSpaces>1577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2024-03-06T09:20:00Z</dcterms:created>
  <dc:creator>胜哥</dc:creator>
  <cp:lastModifiedBy>胜哥</cp:lastModifiedBy>
  <cp:lastPrinted>2024-03-07T00:50:00Z</cp:lastPrinted>
  <dcterms:modified xsi:type="dcterms:W3CDTF">2025-03-06T03:33:49Z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FA66C38037474C3EB23196BB4CFB7E59_13</vt:lpwstr>
  </property>
  <property fmtid="{D5CDD505-2E9C-101B-9397-08002B2CF9AE}" pid="4" name="KSOTemplateDocerSaveRecord">
    <vt:lpwstr>eyJoZGlkIjoiNTA1YTUzOGFkYWY1Zjc1ZWMwODg5YzIwZDI5NjcxYTMiLCJ1c2VySWQiOiI3MzMwMDkyODEifQ==</vt:lpwstr>
  </property>
</Properties>
</file>