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8F670">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sz w:val="44"/>
          <w:szCs w:val="44"/>
        </w:rPr>
      </w:pPr>
      <w:r>
        <w:rPr>
          <w:rFonts w:cs="Times New Roman"/>
          <w:sz w:val="44"/>
          <w:szCs w:val="44"/>
        </w:rPr>
        <w:t>202</w:t>
      </w:r>
      <w:r>
        <w:rPr>
          <w:rFonts w:hint="eastAsia" w:cs="Times New Roman"/>
          <w:sz w:val="44"/>
          <w:szCs w:val="44"/>
        </w:rPr>
        <w:t>5</w:t>
      </w:r>
      <w:r>
        <w:rPr>
          <w:rFonts w:hint="eastAsia"/>
          <w:sz w:val="44"/>
          <w:szCs w:val="44"/>
        </w:rPr>
        <w:t>年湖南财政经济学院专升本文化产业管理专业《文化产业学》科目考核大纲</w:t>
      </w:r>
    </w:p>
    <w:p w14:paraId="5E737800">
      <w:pPr>
        <w:keepNext w:val="0"/>
        <w:keepLines w:val="0"/>
        <w:pageBreakBefore w:val="0"/>
        <w:kinsoku/>
        <w:wordWrap/>
        <w:overflowPunct/>
        <w:topLinePunct w:val="0"/>
        <w:autoSpaceDE/>
        <w:autoSpaceDN/>
        <w:bidi w:val="0"/>
        <w:adjustRightInd/>
        <w:snapToGrid/>
        <w:spacing w:line="520" w:lineRule="exact"/>
        <w:textAlignment w:val="auto"/>
        <w:rPr>
          <w:rFonts w:hint="eastAsia"/>
        </w:rPr>
      </w:pPr>
    </w:p>
    <w:p w14:paraId="0508207F">
      <w:pPr>
        <w:keepNext w:val="0"/>
        <w:keepLines w:val="0"/>
        <w:pageBreakBefore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sz w:val="32"/>
          <w:szCs w:val="32"/>
        </w:rPr>
      </w:pPr>
      <w:r>
        <w:rPr>
          <w:rFonts w:hint="eastAsia"/>
          <w:sz w:val="32"/>
          <w:szCs w:val="32"/>
        </w:rPr>
        <w:t>一、考核目标</w:t>
      </w:r>
    </w:p>
    <w:p w14:paraId="7CC9888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文化产业学》是文化产业管理专业一门重要的专业理论课程。通过考核，检测考生对文化产业形态、基本概念和运行机制的理解程度，要求考生深刻认识文化产业内涵，掌握文化产业的基本原理和发展规律，熟悉文化产业运营内容与管理模式，能够结合当下文化产业发展趋势构建符合社会发展需求的文化产业理念，养成文化资源挖掘、管理和创意等综合技能。</w:t>
      </w:r>
    </w:p>
    <w:p w14:paraId="089D99E3">
      <w:pPr>
        <w:keepNext w:val="0"/>
        <w:keepLines w:val="0"/>
        <w:pageBreakBefore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sz w:val="32"/>
          <w:szCs w:val="32"/>
        </w:rPr>
      </w:pPr>
      <w:r>
        <w:rPr>
          <w:rFonts w:hint="eastAsia"/>
          <w:sz w:val="32"/>
          <w:szCs w:val="32"/>
        </w:rPr>
        <w:t>二、考核内容</w:t>
      </w:r>
    </w:p>
    <w:p w14:paraId="79C6859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模块一：文化产业概论</w:t>
      </w:r>
    </w:p>
    <w:p w14:paraId="1988FA6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知识点一：文化产业的发展概况</w:t>
      </w:r>
    </w:p>
    <w:p w14:paraId="4058492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文化产业的发展、文化产业学的主要研究方法</w:t>
      </w:r>
    </w:p>
    <w:p w14:paraId="1FCF44F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文化产业与现代化进程的关系</w:t>
      </w:r>
    </w:p>
    <w:p w14:paraId="322E46D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文化产业学的时代背景与文化产业学的研究对象</w:t>
      </w:r>
    </w:p>
    <w:p w14:paraId="06B2C33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知识点二：文化产业的行业环境</w:t>
      </w:r>
    </w:p>
    <w:p w14:paraId="748D447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文化产业诞生的内因和外因</w:t>
      </w:r>
    </w:p>
    <w:p w14:paraId="30761F60">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文化产业基本概念和文化产业发展脉络</w:t>
      </w:r>
    </w:p>
    <w:p w14:paraId="370E2BA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世界和中国经济文化发展趋势</w:t>
      </w:r>
    </w:p>
    <w:p w14:paraId="5DB684D0">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知识点三：文化产业的市场格局</w:t>
      </w:r>
    </w:p>
    <w:p w14:paraId="286954D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当前文化产业的市场格局、国内外文化产业市场现状</w:t>
      </w:r>
    </w:p>
    <w:p w14:paraId="06F8F3F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具有代表性的文化产业发展类型</w:t>
      </w:r>
    </w:p>
    <w:p w14:paraId="60C0701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spacing w:val="-6"/>
          <w:sz w:val="28"/>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spacing w:val="-6"/>
          <w:sz w:val="28"/>
        </w:rPr>
        <w:t>文化产业市场格局的主要模式：①国际市场格局②国内市场格局</w:t>
      </w:r>
    </w:p>
    <w:p w14:paraId="7B205A2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知识点四：文化资源的开发利用</w:t>
      </w:r>
    </w:p>
    <w:p w14:paraId="4E92CF8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文化资源的开发模式</w:t>
      </w:r>
    </w:p>
    <w:p w14:paraId="53D34B7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文化资源的主要特点</w:t>
      </w:r>
    </w:p>
    <w:p w14:paraId="0A8072B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 xml:space="preserve">文化资源研究模型 </w:t>
      </w:r>
    </w:p>
    <w:p w14:paraId="74F47D4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文化资源的评估与开发</w:t>
      </w:r>
    </w:p>
    <w:p w14:paraId="6A9276AD">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知识点五：文化资产的价值实现</w:t>
      </w:r>
    </w:p>
    <w:p w14:paraId="0646318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文化产业资产价值评估体系</w:t>
      </w:r>
    </w:p>
    <w:p w14:paraId="2C913A2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文化产业资产价值评估相关理论、文化资产的观念演变</w:t>
      </w:r>
    </w:p>
    <w:p w14:paraId="75680EC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文化产业资产价值评估方法</w:t>
      </w:r>
    </w:p>
    <w:p w14:paraId="2E63BFC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知识点六：文化内容的创意生产</w:t>
      </w:r>
    </w:p>
    <w:p w14:paraId="3F206E6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文化创意产生的思维方法</w:t>
      </w:r>
    </w:p>
    <w:p w14:paraId="09CB068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六顶思考帽</w:t>
      </w:r>
    </w:p>
    <w:p w14:paraId="2A9486D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品牌原型理论</w:t>
      </w:r>
    </w:p>
    <w:p w14:paraId="4AAA330D">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知识点七：文化科技的融合发展</w:t>
      </w:r>
    </w:p>
    <w:p w14:paraId="2824742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文化产品的膜拜价值、展示价值和体验价值</w:t>
      </w:r>
    </w:p>
    <w:p w14:paraId="6139A80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 xml:space="preserve">文化和科技的辩证关系：①文化技术的价值创新 ②创新策略 </w:t>
      </w:r>
    </w:p>
    <w:p w14:paraId="0A30413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知识点八：文化企业的组织管理</w:t>
      </w:r>
    </w:p>
    <w:p w14:paraId="2BDE67B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文化企业的组织形态与运作特征</w:t>
      </w:r>
    </w:p>
    <w:p w14:paraId="7E8D6B7A">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文化企业组织类型</w:t>
      </w:r>
    </w:p>
    <w:p w14:paraId="397D985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熟悉文化企业的运作</w:t>
      </w:r>
    </w:p>
    <w:p w14:paraId="6778587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知识点九：企业文化的领导模式</w:t>
      </w:r>
    </w:p>
    <w:p w14:paraId="0620811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领导理论和文化企业的领导模式</w:t>
      </w:r>
    </w:p>
    <w:p w14:paraId="7DFB54BD">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六度创新理论</w:t>
      </w:r>
    </w:p>
    <w:p w14:paraId="786BF1AA">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创意经理人的胜任力模型</w:t>
      </w:r>
    </w:p>
    <w:p w14:paraId="223E9D5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知识点十：文化产业的营销创新</w:t>
      </w:r>
    </w:p>
    <w:p w14:paraId="6AF3430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营销理论及相关概念</w:t>
      </w:r>
    </w:p>
    <w:p w14:paraId="44D1C40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2.</w:t>
      </w:r>
      <w:r>
        <w:rPr>
          <w:rFonts w:hint="eastAsia" w:ascii="仿宋_GB2312" w:hAnsi="仿宋_GB2312" w:eastAsia="仿宋_GB2312" w:cs="仿宋_GB2312"/>
          <w:b w:val="0"/>
          <w:bCs w:val="0"/>
        </w:rPr>
        <w:t>我国文化产业的营销方式</w:t>
      </w:r>
    </w:p>
    <w:p w14:paraId="7028A4A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7P营销理论</w:t>
      </w:r>
    </w:p>
    <w:p w14:paraId="4C26039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知识点十一：文化产业的商业模式</w:t>
      </w:r>
    </w:p>
    <w:p w14:paraId="1A4D125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文化产品的商业模式的概念及其全过程</w:t>
      </w:r>
    </w:p>
    <w:p w14:paraId="670ACD0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文化产业的商业模式</w:t>
      </w:r>
    </w:p>
    <w:p w14:paraId="116F35A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九宫格商业模式</w:t>
      </w:r>
    </w:p>
    <w:p w14:paraId="27F4A23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知识点十二：文化金融的运营模式</w:t>
      </w:r>
    </w:p>
    <w:p w14:paraId="182C233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文化金融的概念系统和创新模式</w:t>
      </w:r>
    </w:p>
    <w:p w14:paraId="0E1773E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文化企业的融资方式</w:t>
      </w:r>
    </w:p>
    <w:p w14:paraId="03D4AF8A">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文化金融的操作类型</w:t>
      </w:r>
    </w:p>
    <w:p w14:paraId="3DF2D63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创新模式及特征</w:t>
      </w:r>
    </w:p>
    <w:p w14:paraId="33F54A9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知识点十三：文化产业的集聚发展</w:t>
      </w:r>
    </w:p>
    <w:p w14:paraId="0E9133E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文化产业集聚效应</w:t>
      </w:r>
    </w:p>
    <w:p w14:paraId="7B4DB51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文化产业集聚的相关理论</w:t>
      </w:r>
    </w:p>
    <w:p w14:paraId="798EAD4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文化产业集聚的要素、形成模式与趋势</w:t>
      </w:r>
    </w:p>
    <w:p w14:paraId="453B47A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知识点十四：文化产业的国际贸易与传播</w:t>
      </w:r>
    </w:p>
    <w:p w14:paraId="6228B43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文化产业国际贸易的发展趋势</w:t>
      </w:r>
    </w:p>
    <w:p w14:paraId="5E30C71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文化产业国际贸易的特点</w:t>
      </w:r>
    </w:p>
    <w:p w14:paraId="5B4F1EC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文化产业国际贸易与传播的战略模式</w:t>
      </w:r>
    </w:p>
    <w:p w14:paraId="22F1835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模块二：艺术概论</w:t>
      </w:r>
    </w:p>
    <w:p w14:paraId="493EA0A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知识点一：艺术观念</w:t>
      </w:r>
    </w:p>
    <w:p w14:paraId="195569BD">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中国艺术观念：①儒家艺术观念②道家艺术观念③禅宗艺术观念</w:t>
      </w:r>
    </w:p>
    <w:p w14:paraId="45DE0EF0">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西方艺术观念：模仿论、表现论、形式论、艺术体制论</w:t>
      </w:r>
    </w:p>
    <w:p w14:paraId="12DA2B2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马克思主义艺术观：①人的本质力量；</w:t>
      </w:r>
      <w:r>
        <w:rPr>
          <w:rFonts w:hint="eastAsia" w:ascii="仿宋_GB2312" w:hAnsi="仿宋_GB2312" w:eastAsia="仿宋_GB2312" w:cs="仿宋_GB2312"/>
          <w:b w:val="0"/>
          <w:bCs w:val="0"/>
        </w:rPr>
        <w:fldChar w:fldCharType="begin"/>
      </w:r>
      <w:r>
        <w:rPr>
          <w:rFonts w:hint="eastAsia" w:ascii="仿宋_GB2312" w:hAnsi="仿宋_GB2312" w:eastAsia="仿宋_GB2312" w:cs="仿宋_GB2312"/>
          <w:b w:val="0"/>
          <w:bCs w:val="0"/>
        </w:rPr>
        <w:instrText xml:space="preserve"> = 2 \* GB3 </w:instrText>
      </w:r>
      <w:r>
        <w:rPr>
          <w:rFonts w:hint="eastAsia" w:ascii="仿宋_GB2312" w:hAnsi="仿宋_GB2312" w:eastAsia="仿宋_GB2312" w:cs="仿宋_GB2312"/>
          <w:b w:val="0"/>
          <w:bCs w:val="0"/>
        </w:rPr>
        <w:fldChar w:fldCharType="separate"/>
      </w:r>
      <w:r>
        <w:rPr>
          <w:rFonts w:hint="eastAsia" w:ascii="仿宋_GB2312" w:hAnsi="仿宋_GB2312" w:eastAsia="仿宋_GB2312" w:cs="仿宋_GB2312"/>
          <w:b w:val="0"/>
          <w:bCs w:val="0"/>
        </w:rPr>
        <w:t>②</w:t>
      </w:r>
      <w:r>
        <w:rPr>
          <w:rFonts w:hint="eastAsia" w:ascii="仿宋_GB2312" w:hAnsi="仿宋_GB2312" w:eastAsia="仿宋_GB2312" w:cs="仿宋_GB2312"/>
          <w:b w:val="0"/>
          <w:bCs w:val="0"/>
        </w:rPr>
        <w:fldChar w:fldCharType="end"/>
      </w:r>
      <w:r>
        <w:rPr>
          <w:rFonts w:hint="eastAsia" w:ascii="仿宋_GB2312" w:hAnsi="仿宋_GB2312" w:eastAsia="仿宋_GB2312" w:cs="仿宋_GB2312"/>
          <w:b w:val="0"/>
          <w:bCs w:val="0"/>
        </w:rPr>
        <w:t xml:space="preserve">艺术内容与形式的辩证关系；③毛泽东文艺思想； </w:t>
      </w:r>
      <w:r>
        <w:rPr>
          <w:rFonts w:hint="eastAsia" w:ascii="仿宋_GB2312" w:hAnsi="仿宋_GB2312" w:eastAsia="仿宋_GB2312" w:cs="仿宋_GB2312"/>
          <w:b w:val="0"/>
          <w:bCs w:val="0"/>
        </w:rPr>
        <w:fldChar w:fldCharType="begin"/>
      </w:r>
      <w:r>
        <w:rPr>
          <w:rFonts w:hint="eastAsia" w:ascii="仿宋_GB2312" w:hAnsi="仿宋_GB2312" w:eastAsia="仿宋_GB2312" w:cs="仿宋_GB2312"/>
          <w:b w:val="0"/>
          <w:bCs w:val="0"/>
        </w:rPr>
        <w:instrText xml:space="preserve"> = 4 \* GB3 </w:instrText>
      </w:r>
      <w:r>
        <w:rPr>
          <w:rFonts w:hint="eastAsia" w:ascii="仿宋_GB2312" w:hAnsi="仿宋_GB2312" w:eastAsia="仿宋_GB2312" w:cs="仿宋_GB2312"/>
          <w:b w:val="0"/>
          <w:bCs w:val="0"/>
        </w:rPr>
        <w:fldChar w:fldCharType="separate"/>
      </w:r>
      <w:r>
        <w:rPr>
          <w:rFonts w:hint="eastAsia" w:ascii="仿宋_GB2312" w:hAnsi="仿宋_GB2312" w:eastAsia="仿宋_GB2312" w:cs="仿宋_GB2312"/>
          <w:b w:val="0"/>
          <w:bCs w:val="0"/>
        </w:rPr>
        <w:t>④</w:t>
      </w:r>
      <w:r>
        <w:rPr>
          <w:rFonts w:hint="eastAsia" w:ascii="仿宋_GB2312" w:hAnsi="仿宋_GB2312" w:eastAsia="仿宋_GB2312" w:cs="仿宋_GB2312"/>
          <w:b w:val="0"/>
          <w:bCs w:val="0"/>
        </w:rPr>
        <w:fldChar w:fldCharType="end"/>
      </w:r>
      <w:r>
        <w:rPr>
          <w:rFonts w:hint="eastAsia" w:ascii="仿宋_GB2312" w:hAnsi="仿宋_GB2312" w:eastAsia="仿宋_GB2312" w:cs="仿宋_GB2312"/>
          <w:b w:val="0"/>
          <w:bCs w:val="0"/>
        </w:rPr>
        <w:t>中国特色社会主义文艺理论；</w:t>
      </w:r>
      <w:r>
        <w:rPr>
          <w:rFonts w:hint="eastAsia" w:ascii="仿宋_GB2312" w:hAnsi="仿宋_GB2312" w:eastAsia="仿宋_GB2312" w:cs="仿宋_GB2312"/>
          <w:b w:val="0"/>
          <w:bCs w:val="0"/>
        </w:rPr>
        <w:fldChar w:fldCharType="begin"/>
      </w:r>
      <w:r>
        <w:rPr>
          <w:rFonts w:hint="eastAsia" w:ascii="仿宋_GB2312" w:hAnsi="仿宋_GB2312" w:eastAsia="仿宋_GB2312" w:cs="仿宋_GB2312"/>
          <w:b w:val="0"/>
          <w:bCs w:val="0"/>
        </w:rPr>
        <w:instrText xml:space="preserve"> = 5 \* GB3 </w:instrText>
      </w:r>
      <w:r>
        <w:rPr>
          <w:rFonts w:hint="eastAsia" w:ascii="仿宋_GB2312" w:hAnsi="仿宋_GB2312" w:eastAsia="仿宋_GB2312" w:cs="仿宋_GB2312"/>
          <w:b w:val="0"/>
          <w:bCs w:val="0"/>
        </w:rPr>
        <w:fldChar w:fldCharType="separate"/>
      </w:r>
      <w:r>
        <w:rPr>
          <w:rFonts w:hint="eastAsia" w:ascii="仿宋_GB2312" w:hAnsi="仿宋_GB2312" w:eastAsia="仿宋_GB2312" w:cs="仿宋_GB2312"/>
          <w:b w:val="0"/>
          <w:bCs w:val="0"/>
        </w:rPr>
        <w:t>⑤</w:t>
      </w:r>
      <w:r>
        <w:rPr>
          <w:rFonts w:hint="eastAsia" w:ascii="仿宋_GB2312" w:hAnsi="仿宋_GB2312" w:eastAsia="仿宋_GB2312" w:cs="仿宋_GB2312"/>
          <w:b w:val="0"/>
          <w:bCs w:val="0"/>
        </w:rPr>
        <w:fldChar w:fldCharType="end"/>
      </w:r>
      <w:r>
        <w:rPr>
          <w:rFonts w:hint="eastAsia" w:ascii="仿宋_GB2312" w:hAnsi="仿宋_GB2312" w:eastAsia="仿宋_GB2312" w:cs="仿宋_GB2312"/>
          <w:b w:val="0"/>
          <w:bCs w:val="0"/>
        </w:rPr>
        <w:t>习近平文艺思想</w:t>
      </w:r>
    </w:p>
    <w:p w14:paraId="6012400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知识点二：艺术生产与消费</w:t>
      </w:r>
    </w:p>
    <w:p w14:paraId="4B4914D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艺术掌握世界的特殊性</w:t>
      </w:r>
    </w:p>
    <w:p w14:paraId="521CFDE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物质生产的发展与艺术发展的不平衡关系</w:t>
      </w:r>
    </w:p>
    <w:p w14:paraId="4A66F78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艺术生产与艺术消费的完整过程</w:t>
      </w:r>
    </w:p>
    <w:p w14:paraId="5E6AD54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艺术的审美特性及表现维度</w:t>
      </w:r>
    </w:p>
    <w:p w14:paraId="31D20CD0">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知识点三：艺术的功能</w:t>
      </w:r>
    </w:p>
    <w:p w14:paraId="41ADAC5A">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中西代表人物有关艺术功能的论述</w:t>
      </w:r>
    </w:p>
    <w:p w14:paraId="7C5A4EC3">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艺术的主要功能</w:t>
      </w:r>
    </w:p>
    <w:p w14:paraId="5434685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知识点四：艺术创作</w:t>
      </w:r>
    </w:p>
    <w:p w14:paraId="2FBC402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艺术创作主体应具备的素质</w:t>
      </w:r>
    </w:p>
    <w:p w14:paraId="6CDDF23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艺术创作方式的特点</w:t>
      </w:r>
    </w:p>
    <w:p w14:paraId="7B6F979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艺术创作的基本过程</w:t>
      </w:r>
    </w:p>
    <w:p w14:paraId="6B32DDDA">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知识点五：艺术作品</w:t>
      </w:r>
    </w:p>
    <w:p w14:paraId="4183FEC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艺术媒介的类别与作用</w:t>
      </w:r>
    </w:p>
    <w:p w14:paraId="2E5BDAE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艺术形式的特征</w:t>
      </w:r>
    </w:p>
    <w:p w14:paraId="6527CE7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艺术作品的内容：题材与主题、形象与情境、意蕴</w:t>
      </w:r>
    </w:p>
    <w:p w14:paraId="3C03814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知识点六：艺术接受</w:t>
      </w:r>
    </w:p>
    <w:p w14:paraId="45E57BE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艺术接受的定义</w:t>
      </w:r>
    </w:p>
    <w:p w14:paraId="40FBEE7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艺术接受主体的主客观条件</w:t>
      </w:r>
    </w:p>
    <w:p w14:paraId="4F587E1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艺术接受的特征</w:t>
      </w:r>
    </w:p>
    <w:p w14:paraId="027A7AC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知识点七：艺术类型</w:t>
      </w:r>
    </w:p>
    <w:p w14:paraId="0077438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艺术类型划分的基本原则</w:t>
      </w:r>
    </w:p>
    <w:p w14:paraId="06B4E9F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主要的艺术类型及其审美特征</w:t>
      </w:r>
    </w:p>
    <w:p w14:paraId="2D1EA072">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各种艺术之间的相互关系</w:t>
      </w:r>
    </w:p>
    <w:p w14:paraId="1CE9FA0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知识点八：艺术的发展</w:t>
      </w:r>
    </w:p>
    <w:p w14:paraId="50DB531E">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艺术起源的主要学说</w:t>
      </w:r>
    </w:p>
    <w:p w14:paraId="2DAD07B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有关艺术发展规律的主要观点</w:t>
      </w:r>
    </w:p>
    <w:p w14:paraId="5F46E11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影响艺术发展的相关因素</w:t>
      </w:r>
    </w:p>
    <w:p w14:paraId="24BB83A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4.</w:t>
      </w:r>
      <w:r>
        <w:rPr>
          <w:rFonts w:hint="eastAsia" w:ascii="仿宋_GB2312" w:hAnsi="仿宋_GB2312" w:eastAsia="仿宋_GB2312" w:cs="仿宋_GB2312"/>
          <w:b w:val="0"/>
          <w:bCs w:val="0"/>
        </w:rPr>
        <w:t>艺术发展中的平衡与不平衡</w:t>
      </w:r>
    </w:p>
    <w:p w14:paraId="291D63BD">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5</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艺术发展中的继承与创新</w:t>
      </w:r>
    </w:p>
    <w:p w14:paraId="3410BD26">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知识点九：艺术风格</w:t>
      </w:r>
    </w:p>
    <w:p w14:paraId="465AB52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艺术风格的概念界定</w:t>
      </w:r>
    </w:p>
    <w:p w14:paraId="3D82901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艺术风格形成的复杂原因</w:t>
      </w:r>
    </w:p>
    <w:p w14:paraId="078E2C6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艺术风格的类别</w:t>
      </w:r>
    </w:p>
    <w:p w14:paraId="1C82D4C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艺术风格的基本特点及其意义</w:t>
      </w:r>
    </w:p>
    <w:p w14:paraId="6F3D8AF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知识点十：艺术流派</w:t>
      </w:r>
    </w:p>
    <w:p w14:paraId="4EAEE9A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1、艺术流派的定义</w:t>
      </w:r>
    </w:p>
    <w:p w14:paraId="634D6AB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2、艺术流派形成的基本条件</w:t>
      </w:r>
    </w:p>
    <w:p w14:paraId="5C49A15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3、艺术流派形成的几种形态</w:t>
      </w:r>
    </w:p>
    <w:p w14:paraId="2E51543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知识点十一：艺术思潮</w:t>
      </w:r>
    </w:p>
    <w:p w14:paraId="49F69297">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艺术思潮的定义及其产生条件</w:t>
      </w:r>
    </w:p>
    <w:p w14:paraId="4AD58E6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艺术思潮的类型</w:t>
      </w:r>
    </w:p>
    <w:p w14:paraId="103E8F4B">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知识点十二：艺术批评</w:t>
      </w:r>
    </w:p>
    <w:p w14:paraId="132F373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艺术批评的含义与性质、原则和意义</w:t>
      </w:r>
    </w:p>
    <w:p w14:paraId="3A92D953">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艺术批评的主体构成及应具备的素养</w:t>
      </w:r>
    </w:p>
    <w:p w14:paraId="38C4E6C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艺术批评的维度与方法</w:t>
      </w:r>
    </w:p>
    <w:p w14:paraId="50B28EB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知识点十三：艺术的当代嬗变</w:t>
      </w:r>
    </w:p>
    <w:p w14:paraId="38FA236D">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1</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多样化和本土化的艺术博弈带来的问题</w:t>
      </w:r>
    </w:p>
    <w:p w14:paraId="2EF12F62">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2</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艺术中的“雅”与“俗”</w:t>
      </w:r>
    </w:p>
    <w:p w14:paraId="4128ACA3">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3</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文化创意产业的几个特点</w:t>
      </w:r>
    </w:p>
    <w:p w14:paraId="1AE46341">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4</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艺术市场和营销不同于其他商品交换与营销的特点</w:t>
      </w:r>
    </w:p>
    <w:p w14:paraId="587B8C6E">
      <w:pPr>
        <w:pStyle w:val="9"/>
        <w:keepNext w:val="0"/>
        <w:keepLines w:val="0"/>
        <w:pageBreakBefore w:val="0"/>
        <w:kinsoku/>
        <w:wordWrap/>
        <w:overflowPunct/>
        <w:topLinePunct w:val="0"/>
        <w:autoSpaceDE/>
        <w:autoSpaceDN/>
        <w:bidi w:val="0"/>
        <w:adjustRightInd/>
        <w:snapToGrid/>
        <w:spacing w:line="520" w:lineRule="exact"/>
        <w:ind w:left="0" w:leftChars="0" w:firstLine="560"/>
        <w:jc w:val="both"/>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5</w:t>
      </w:r>
      <w:r>
        <w:rPr>
          <w:rFonts w:hint="eastAsia" w:ascii="仿宋_GB2312" w:hAnsi="仿宋_GB2312" w:eastAsia="仿宋_GB2312" w:cs="仿宋_GB2312"/>
          <w:b w:val="0"/>
          <w:bCs w:val="0"/>
          <w:lang w:val="en-US" w:eastAsia="zh-CN"/>
        </w:rPr>
        <w:t>.</w:t>
      </w:r>
      <w:r>
        <w:rPr>
          <w:rFonts w:hint="eastAsia" w:ascii="仿宋_GB2312" w:hAnsi="仿宋_GB2312" w:eastAsia="仿宋_GB2312" w:cs="仿宋_GB2312"/>
          <w:b w:val="0"/>
          <w:bCs w:val="0"/>
        </w:rPr>
        <w:t>数字技术条件下当代艺术嬗变的共性特征</w:t>
      </w:r>
    </w:p>
    <w:p w14:paraId="22F7CF90">
      <w:pPr>
        <w:rPr>
          <w:rFonts w:hint="eastAsia"/>
          <w:sz w:val="32"/>
          <w:szCs w:val="32"/>
        </w:rPr>
      </w:pPr>
      <w:r>
        <w:rPr>
          <w:rFonts w:hint="eastAsia"/>
          <w:sz w:val="32"/>
          <w:szCs w:val="32"/>
        </w:rPr>
        <w:br w:type="page"/>
      </w:r>
    </w:p>
    <w:p w14:paraId="76EE8994">
      <w:pPr>
        <w:keepNext w:val="0"/>
        <w:keepLines w:val="0"/>
        <w:pageBreakBefore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sz w:val="32"/>
          <w:szCs w:val="32"/>
        </w:rPr>
      </w:pPr>
      <w:r>
        <w:rPr>
          <w:rFonts w:hint="eastAsia"/>
          <w:sz w:val="32"/>
          <w:szCs w:val="32"/>
        </w:rPr>
        <w:t>三、课程考核实施要求</w:t>
      </w:r>
    </w:p>
    <w:p w14:paraId="3B2323AF">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（一）</w:t>
      </w:r>
      <w:r>
        <w:rPr>
          <w:rFonts w:hint="eastAsia" w:ascii="仿宋_GB2312" w:hAnsi="仿宋_GB2312" w:eastAsia="仿宋_GB2312" w:cs="仿宋_GB2312"/>
        </w:rPr>
        <w:t>考核方式</w:t>
      </w:r>
    </w:p>
    <w:p w14:paraId="6620F29C">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本命题考试为专升本学生适用，考核方式为闭卷笔试。</w:t>
      </w:r>
    </w:p>
    <w:p w14:paraId="1D2B2B49">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（二）</w:t>
      </w:r>
      <w:r>
        <w:rPr>
          <w:rFonts w:hint="eastAsia" w:ascii="仿宋_GB2312" w:hAnsi="仿宋_GB2312" w:eastAsia="仿宋_GB2312" w:cs="仿宋_GB2312"/>
        </w:rPr>
        <w:t>考试时长:150分钟。</w:t>
      </w:r>
    </w:p>
    <w:p w14:paraId="06B83DF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（三）</w:t>
      </w:r>
      <w:r>
        <w:rPr>
          <w:rFonts w:hint="eastAsia" w:ascii="仿宋_GB2312" w:hAnsi="仿宋_GB2312" w:eastAsia="仿宋_GB2312" w:cs="仿宋_GB2312"/>
        </w:rPr>
        <w:t>考试命题</w:t>
      </w:r>
    </w:p>
    <w:p w14:paraId="378CF7B1">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考核大纲命题内容覆盖教材的主要内容。</w:t>
      </w:r>
    </w:p>
    <w:p w14:paraId="31DCF0F0">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科目分值：满分值200分。</w:t>
      </w:r>
    </w:p>
    <w:p w14:paraId="415B37B8">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3.</w:t>
      </w:r>
      <w:r>
        <w:rPr>
          <w:rFonts w:hint="eastAsia" w:ascii="仿宋_GB2312" w:hAnsi="仿宋_GB2312" w:eastAsia="仿宋_GB2312" w:cs="仿宋_GB2312"/>
        </w:rPr>
        <w:t>考试题型：</w:t>
      </w:r>
      <w:bookmarkStart w:id="0" w:name="_GoBack"/>
      <w:bookmarkEnd w:id="0"/>
      <w:r>
        <w:rPr>
          <w:rFonts w:hint="eastAsia" w:ascii="仿宋_GB2312" w:hAnsi="仿宋_GB2312" w:eastAsia="仿宋_GB2312" w:cs="仿宋_GB2312"/>
        </w:rPr>
        <w:t>选择题每小题2分，共40分；名词解释题每小题5分，共30分；简答题每小题8分，共40分；论述题每小题20分，共40分；材料分析题每题25分，共50分。</w:t>
      </w:r>
    </w:p>
    <w:p w14:paraId="68C43340">
      <w:pPr>
        <w:keepNext w:val="0"/>
        <w:keepLines w:val="0"/>
        <w:pageBreakBefore w:val="0"/>
        <w:kinsoku/>
        <w:wordWrap/>
        <w:overflowPunct/>
        <w:topLinePunct w:val="0"/>
        <w:autoSpaceDE/>
        <w:autoSpaceDN/>
        <w:bidi w:val="0"/>
        <w:adjustRightInd/>
        <w:snapToGrid/>
        <w:spacing w:line="520" w:lineRule="exact"/>
        <w:ind w:left="0" w:leftChars="0" w:firstLine="640" w:firstLineChars="200"/>
        <w:jc w:val="both"/>
        <w:textAlignment w:val="auto"/>
        <w:rPr>
          <w:rFonts w:hint="eastAsia"/>
          <w:sz w:val="32"/>
          <w:szCs w:val="32"/>
        </w:rPr>
      </w:pPr>
      <w:r>
        <w:rPr>
          <w:rFonts w:hint="eastAsia"/>
          <w:sz w:val="32"/>
          <w:szCs w:val="32"/>
        </w:rPr>
        <w:t>四、教材和参考书</w:t>
      </w:r>
    </w:p>
    <w:p w14:paraId="63AA2490">
      <w:pPr>
        <w:pStyle w:val="4"/>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ascii="仿宋_GB2312" w:hAnsi="仿宋_GB2312" w:eastAsia="仿宋_GB2312" w:cs="仿宋_GB2312"/>
          <w:sz w:val="28"/>
          <w:szCs w:val="28"/>
        </w:rPr>
        <w:t>教材</w:t>
      </w:r>
    </w:p>
    <w:p w14:paraId="2A7CB89F">
      <w:pPr>
        <w:pStyle w:val="4"/>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向勇.文化产业概论[M].北京：中国人民大学出版社，2022年.</w:t>
      </w:r>
    </w:p>
    <w:p w14:paraId="069F04DD">
      <w:pPr>
        <w:pStyle w:val="4"/>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ascii="仿宋_GB2312" w:hAnsi="仿宋_GB2312" w:eastAsia="仿宋_GB2312" w:cs="仿宋_GB2312"/>
          <w:kern w:val="2"/>
          <w:sz w:val="28"/>
          <w:szCs w:val="28"/>
        </w:rPr>
      </w:pPr>
      <w:r>
        <w:rPr>
          <w:rFonts w:ascii="仿宋_GB2312" w:hAnsi="仿宋_GB2312" w:eastAsia="仿宋_GB2312" w:cs="仿宋_GB2312"/>
          <w:kern w:val="2"/>
          <w:sz w:val="28"/>
          <w:szCs w:val="28"/>
        </w:rPr>
        <w:t>《艺术学概论》编写组.艺术学概论[M].北京：高等教育出版社，2019年.</w:t>
      </w:r>
    </w:p>
    <w:p w14:paraId="1AC6C5AD">
      <w:pPr>
        <w:pStyle w:val="4"/>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eastAsia="zh-CN"/>
        </w:rPr>
        <w:t>（二）</w:t>
      </w:r>
      <w:r>
        <w:rPr>
          <w:rFonts w:ascii="仿宋_GB2312" w:hAnsi="仿宋_GB2312" w:eastAsia="仿宋_GB2312" w:cs="仿宋_GB2312"/>
          <w:kern w:val="2"/>
          <w:sz w:val="28"/>
          <w:szCs w:val="28"/>
        </w:rPr>
        <w:t>参考书目</w:t>
      </w:r>
    </w:p>
    <w:p w14:paraId="54F22AE4">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李思屈、李涛.文化产业概论（第三版）[M].杭州：浙江大学出版社，2014年.</w:t>
      </w:r>
    </w:p>
    <w:p w14:paraId="38A6E72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金元浦.文化创意产业概论[M].北京：高等教育出版社，2010年.</w:t>
      </w:r>
    </w:p>
    <w:p w14:paraId="31168C75">
      <w:pPr>
        <w:keepNext w:val="0"/>
        <w:keepLines w:val="0"/>
        <w:pageBreakBefore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彭吉象.艺术学概论（第五版）[M].北京：北京大学出版社，2019年.</w:t>
      </w:r>
    </w:p>
    <w:p w14:paraId="2BBC27E8">
      <w:pPr>
        <w:keepNext w:val="0"/>
        <w:keepLines w:val="0"/>
        <w:pageBreakBefore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745"/>
      </w:pPr>
      <w:r>
        <w:separator/>
      </w:r>
    </w:p>
  </w:endnote>
  <w:endnote w:type="continuationSeparator" w:id="1">
    <w:p>
      <w:pPr>
        <w:ind w:left="74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left="745"/>
      </w:pPr>
      <w:r>
        <w:separator/>
      </w:r>
    </w:p>
  </w:footnote>
  <w:footnote w:type="continuationSeparator" w:id="1">
    <w:p>
      <w:pPr>
        <w:ind w:left="745"/>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wM2JlOWYwYzBmYjNjMmI5ODNjZDQyMzJlMWYxZGUifQ=="/>
    <w:docVar w:name="KSO_WPS_MARK_KEY" w:val="efcd5b72-26f3-4251-8ae0-9d5a585dd450"/>
  </w:docVars>
  <w:rsids>
    <w:rsidRoot w:val="32A61C82"/>
    <w:rsid w:val="000827F0"/>
    <w:rsid w:val="00092340"/>
    <w:rsid w:val="000B4D0A"/>
    <w:rsid w:val="001C1E45"/>
    <w:rsid w:val="001F02F5"/>
    <w:rsid w:val="002709F3"/>
    <w:rsid w:val="0028384C"/>
    <w:rsid w:val="002867D6"/>
    <w:rsid w:val="002B69F3"/>
    <w:rsid w:val="002F6DB8"/>
    <w:rsid w:val="00390E02"/>
    <w:rsid w:val="003A7B38"/>
    <w:rsid w:val="003D04EC"/>
    <w:rsid w:val="004650A9"/>
    <w:rsid w:val="00482595"/>
    <w:rsid w:val="004B4FDC"/>
    <w:rsid w:val="004C3802"/>
    <w:rsid w:val="005025DB"/>
    <w:rsid w:val="00510BE3"/>
    <w:rsid w:val="00510D1E"/>
    <w:rsid w:val="00522097"/>
    <w:rsid w:val="0053751F"/>
    <w:rsid w:val="0054525C"/>
    <w:rsid w:val="005B2F0A"/>
    <w:rsid w:val="0064480D"/>
    <w:rsid w:val="006817DB"/>
    <w:rsid w:val="006F291E"/>
    <w:rsid w:val="007A04AC"/>
    <w:rsid w:val="007E0A4E"/>
    <w:rsid w:val="008466EB"/>
    <w:rsid w:val="0095026B"/>
    <w:rsid w:val="00954895"/>
    <w:rsid w:val="00990775"/>
    <w:rsid w:val="00A06B27"/>
    <w:rsid w:val="00A37156"/>
    <w:rsid w:val="00A71FE5"/>
    <w:rsid w:val="00B15197"/>
    <w:rsid w:val="00B16C7E"/>
    <w:rsid w:val="00B622B3"/>
    <w:rsid w:val="00B83F3B"/>
    <w:rsid w:val="00BD0523"/>
    <w:rsid w:val="00C2454D"/>
    <w:rsid w:val="00D37237"/>
    <w:rsid w:val="00D77D98"/>
    <w:rsid w:val="00D81D08"/>
    <w:rsid w:val="00DB4950"/>
    <w:rsid w:val="00E65F49"/>
    <w:rsid w:val="00EA2682"/>
    <w:rsid w:val="00EA7427"/>
    <w:rsid w:val="00EE275E"/>
    <w:rsid w:val="00F27F11"/>
    <w:rsid w:val="00F3724F"/>
    <w:rsid w:val="00F70A9B"/>
    <w:rsid w:val="00F8530F"/>
    <w:rsid w:val="00FE0843"/>
    <w:rsid w:val="03C44108"/>
    <w:rsid w:val="0F3020DD"/>
    <w:rsid w:val="175E0B06"/>
    <w:rsid w:val="1C4878E2"/>
    <w:rsid w:val="245E4322"/>
    <w:rsid w:val="325E6DB1"/>
    <w:rsid w:val="32A61C82"/>
    <w:rsid w:val="332903BC"/>
    <w:rsid w:val="339D6CF0"/>
    <w:rsid w:val="3EB92DFF"/>
    <w:rsid w:val="4F4657E4"/>
    <w:rsid w:val="50D643AB"/>
    <w:rsid w:val="68932FF6"/>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745" w:leftChars="266"/>
      <w:jc w:val="both"/>
    </w:pPr>
    <w:rPr>
      <w:rFonts w:ascii="黑体" w:hAnsi="黑体" w:eastAsia="黑体" w:cs="黑体"/>
      <w:kern w:val="2"/>
      <w:sz w:val="28"/>
      <w:szCs w:val="28"/>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hAnsi="Courier New" w:cs="Times New Roman"/>
      <w:kern w:val="0"/>
      <w:sz w:val="20"/>
      <w:szCs w:val="20"/>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2146</Words>
  <Characters>2289</Characters>
  <Lines>17</Lines>
  <Paragraphs>4</Paragraphs>
  <TotalTime>201</TotalTime>
  <ScaleCrop>false</ScaleCrop>
  <LinksUpToDate>false</LinksUpToDate>
  <CharactersWithSpaces>2293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胜哥</cp:lastModifiedBy>
  <cp:lastPrinted>2024-03-10T08:54:00Z</cp:lastPrinted>
  <dcterms:modified xsi:type="dcterms:W3CDTF">2025-03-07T03:01:46Z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B49D2E1140F34C5291E5C4ECB1B57E76_13</vt:lpwstr>
  </property>
  <property fmtid="{D5CDD505-2E9C-101B-9397-08002B2CF9AE}" pid="4" name="KSOTemplateDocerSaveRecord">
    <vt:lpwstr>eyJoZGlkIjoiNTA1YTUzOGFkYWY1Zjc1ZWMwODg5YzIwZDI5NjcxYTMiLCJ1c2VySWQiOiI3MzMwMDkyODEifQ==</vt:lpwstr>
  </property>
</Properties>
</file>