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ADEBC">
      <w:pPr>
        <w:pStyle w:val="2"/>
        <w:spacing w:before="0" w:after="0" w:line="360" w:lineRule="auto"/>
        <w:jc w:val="center"/>
        <w:rPr>
          <w:rFonts w:hint="eastAsia" w:ascii="Times New Roman" w:hAnsi="黑体" w:eastAsia="黑体" w:cs="Times New Roman"/>
          <w:kern w:val="0"/>
        </w:rPr>
      </w:pPr>
      <w:r>
        <w:rPr>
          <w:rFonts w:hint="eastAsia" w:ascii="Times New Roman" w:hAnsi="黑体" w:eastAsia="黑体" w:cs="Times New Roman"/>
          <w:kern w:val="0"/>
          <w:lang w:eastAsia="zh-CN"/>
        </w:rPr>
        <w:t>《</w:t>
      </w:r>
      <w:r>
        <w:rPr>
          <w:rFonts w:hint="eastAsia" w:ascii="Times New Roman" w:hAnsi="黑体" w:eastAsia="黑体" w:cs="Times New Roman"/>
          <w:kern w:val="0"/>
        </w:rPr>
        <w:t>法学基础</w:t>
      </w:r>
      <w:r>
        <w:rPr>
          <w:rFonts w:hint="eastAsia" w:ascii="Times New Roman" w:hAnsi="黑体" w:eastAsia="黑体" w:cs="Times New Roman"/>
          <w:kern w:val="0"/>
          <w:lang w:eastAsia="zh-CN"/>
        </w:rPr>
        <w:t>》</w:t>
      </w:r>
      <w:r>
        <w:rPr>
          <w:rFonts w:hint="eastAsia" w:ascii="Times New Roman" w:hAnsi="黑体" w:eastAsia="黑体" w:cs="Times New Roman"/>
          <w:kern w:val="0"/>
        </w:rPr>
        <w:t>考试大纲</w:t>
      </w:r>
    </w:p>
    <w:p w14:paraId="726EC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1E2F6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一、课程编号：</w:t>
      </w:r>
    </w:p>
    <w:p w14:paraId="39224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二、课程类别：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法学</w:t>
      </w:r>
      <w:r>
        <w:rPr>
          <w:rFonts w:hint="eastAsia" w:ascii="宋体" w:hAnsi="宋体" w:eastAsia="宋体" w:cs="宋体"/>
          <w:sz w:val="24"/>
          <w:szCs w:val="24"/>
        </w:rPr>
        <w:t>专业“专升本”课程。</w:t>
      </w:r>
    </w:p>
    <w:p w14:paraId="1AE45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三、编写说明</w:t>
      </w:r>
    </w:p>
    <w:p w14:paraId="10C3F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1.本考核大纲参考马克思主义理论研究和建设工程重点教材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《法理学》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《民法学》上册进行编写。</w:t>
      </w:r>
    </w:p>
    <w:p w14:paraId="111C1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2.本考核大纲适用于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法学</w:t>
      </w:r>
      <w:r>
        <w:rPr>
          <w:rFonts w:hint="eastAsia" w:ascii="宋体" w:hAnsi="宋体" w:eastAsia="宋体" w:cs="宋体"/>
          <w:sz w:val="24"/>
          <w:szCs w:val="24"/>
        </w:rPr>
        <w:t>专业“专升本”考试。</w:t>
      </w:r>
    </w:p>
    <w:p w14:paraId="28B97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四、课程考核的要求与知识点</w:t>
      </w:r>
    </w:p>
    <w:p w14:paraId="1D19C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（一）法理学部分（占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0%）</w:t>
      </w:r>
    </w:p>
    <w:p w14:paraId="5638C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1.法理学概述</w:t>
      </w:r>
    </w:p>
    <w:p w14:paraId="3F820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考核知识点：法理学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法学</w:t>
      </w:r>
      <w:r>
        <w:rPr>
          <w:rFonts w:hint="eastAsia" w:ascii="宋体" w:hAnsi="宋体" w:eastAsia="宋体" w:cs="宋体"/>
          <w:sz w:val="24"/>
          <w:szCs w:val="24"/>
        </w:rPr>
        <w:t>的定义与性质、法理学研究对象与范围、历史发展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AFA2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45345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⑴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：法理学的概念、研究对象</w:t>
      </w:r>
    </w:p>
    <w:p w14:paraId="7B152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：法理学的学科性质、研究范围、历史发展脉络</w:t>
      </w:r>
    </w:p>
    <w:p w14:paraId="2C4F9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：分析法理学与其他学科的关系</w:t>
      </w:r>
    </w:p>
    <w:p w14:paraId="31513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2.法理学的基本理论</w:t>
      </w:r>
    </w:p>
    <w:p w14:paraId="13EAE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考核知识点：法的概念、本质、基本价值（正义、自由、秩序）、法律规则、原则、概念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7A7C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6D66D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：法的定义、属性、基本价值内涵、法律规则的特征</w:t>
      </w:r>
    </w:p>
    <w:p w14:paraId="19347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法的本质探究、法律原则与规则的区别</w:t>
      </w:r>
    </w:p>
    <w:p w14:paraId="6E713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：运用法的基本价值分析具体法律现象</w:t>
      </w:r>
    </w:p>
    <w:p w14:paraId="1D3AC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3.法律渊源与法律体系</w:t>
      </w:r>
    </w:p>
    <w:p w14:paraId="66DB8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考核知识点：正式法律渊源与非正式法律渊源、制定法、习惯法、判例法、法律体系的构成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1365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64844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：不同法律渊源的概念、法律体系的含义</w:t>
      </w:r>
    </w:p>
    <w:p w14:paraId="0D22E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：各种法律渊源的特点与效力、法律体系的门类划分</w:t>
      </w:r>
    </w:p>
    <w:p w14:paraId="3A65D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：分析我国法律渊源的现状与法律体系的结构</w:t>
      </w:r>
    </w:p>
    <w:p w14:paraId="7204A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4.法的实施与法的实现</w:t>
      </w:r>
    </w:p>
    <w:p w14:paraId="508CB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考核知识点：法的实施的定义、分类、意义，法的适用的定义、特点、原则，法律推理与法律解释的定义、分类、原则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6D47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771E9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：法的实施与法的适用的基本概念</w:t>
      </w:r>
    </w:p>
    <w:p w14:paraId="3B922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：法的实施各环节的特点与意义、法的适用的基本要求、法律推理与解释的方法</w:t>
      </w:r>
    </w:p>
    <w:p w14:paraId="52E79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：运用法律推理与解释的方法分析具体案例</w:t>
      </w:r>
    </w:p>
    <w:p w14:paraId="43C7A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5.法律责任与法律制裁</w:t>
      </w:r>
    </w:p>
    <w:p w14:paraId="5C9A2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考核知识点：法律责任的概念、种类、构成要件，法律制裁的概念、种类、原则，法律救济的概念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4494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8338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：法律责任与法律制裁的基本内容</w:t>
      </w:r>
    </w:p>
    <w:p w14:paraId="5C0CE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：法律责任的构成要素、法律制裁的适用原则</w:t>
      </w:r>
    </w:p>
    <w:p w14:paraId="02F43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：分析具体法律责任与法律制裁的案例</w:t>
      </w:r>
    </w:p>
    <w:p w14:paraId="1FAB7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6.法理学前沿问题研究</w:t>
      </w:r>
    </w:p>
    <w:p w14:paraId="329C2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考核知识点：法理学与其他学科的关系、法理学的发展趋势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9F82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2EEE7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：法理学与其他学科的联系</w:t>
      </w:r>
    </w:p>
    <w:p w14:paraId="3AAE9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：法理学跨学科研究的意义、全球化与科技发展对法理学的影响</w:t>
      </w:r>
    </w:p>
    <w:p w14:paraId="7C950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：探讨新兴领域法律问题的解决思路</w:t>
      </w:r>
    </w:p>
    <w:p w14:paraId="76C5C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（二）民法部分（占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0%）</w:t>
      </w:r>
    </w:p>
    <w:p w14:paraId="04D2B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1.民法总论</w:t>
      </w:r>
    </w:p>
    <w:p w14:paraId="72324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考核知识点：民法的概念、渊源、历史发展、适用范围，民法基本原则，民事法律关系概念、要素，民事权利概念、分类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50D7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18C31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：民法的概念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渊源、历史发展与调整对象</w:t>
      </w:r>
    </w:p>
    <w:p w14:paraId="7C4F7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：民事法律关系的构成、民事权利的种类与特点</w:t>
      </w:r>
    </w:p>
    <w:p w14:paraId="2F3E8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：民法基本原则的内容</w:t>
      </w:r>
    </w:p>
    <w:p w14:paraId="36059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2.民事主体</w:t>
      </w:r>
    </w:p>
    <w:p w14:paraId="35683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考核知识点：民事主体的概念、特征、本质条件，自然人的民事权利能力、民事行为能力、监护制度、宣告失踪和宣告死亡制度，法人的概念、特征、分类、成立条件、民事能力、机关、变更和终止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1D83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177F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：民事主体的概念、特征、本质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法人的概念、特征、分类</w:t>
      </w:r>
    </w:p>
    <w:p w14:paraId="57B80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：自然人民事行为能力的类型与区别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民事主体的认定标准</w:t>
      </w:r>
    </w:p>
    <w:p w14:paraId="0D773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：监护制度的适用、法人的成立与终止条件</w:t>
      </w:r>
    </w:p>
    <w:p w14:paraId="71823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3.民事法律行为和代理</w:t>
      </w:r>
    </w:p>
    <w:p w14:paraId="02018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考核知识点：民事法律行为的概念、特征、分类、形式、有效要件、无效民事行为、附条件和附期限的民事法律行为，代理的概念、特征、种类、代理证书、无权代理、复代理、代理权的行使及代理关系终止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7D36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2E14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：民事法律行为的概念、特征、分类、形式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代理的概念、特征、种类、代理证书</w:t>
      </w:r>
    </w:p>
    <w:p w14:paraId="50477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：民事法律行为的成立与生效要件、分类依据、无效民事行为的类型与后果</w:t>
      </w:r>
    </w:p>
    <w:p w14:paraId="7CF98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：代理制度的运作机制与法律后果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附条件与附期限民事法律行为的特点与效力</w:t>
      </w:r>
    </w:p>
    <w:p w14:paraId="1132C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4.物权</w:t>
      </w:r>
    </w:p>
    <w:p w14:paraId="4231B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考核知识点：物权的概念和特征、物权法的基本原则、财产所有权、财产共有、相邻关系、用益物权、担保物权的基本内容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74AC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0DB86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：物权的概念和特征</w:t>
      </w:r>
    </w:p>
    <w:p w14:paraId="11521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：物权的公示公信原则、所有权的权能、共有权的类型与行使</w:t>
      </w:r>
    </w:p>
    <w:p w14:paraId="71E11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：相邻关系的处理原则、用益物权与担保物权的区别与联系</w:t>
      </w:r>
    </w:p>
    <w:p w14:paraId="1FC5E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5.债的一般原理</w:t>
      </w:r>
    </w:p>
    <w:p w14:paraId="7FE3C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考核知识点：债的概念和特征、债的分类、债的履行、移转和消灭，合同的概念和特征、订立、内容与形式、解除与变更，不当得利之债、无因管理之债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DC3D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74AB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：债的概念和特征、债的分类、债的履行、移转和消灭，合同的概念和特征、订立、内容与形式</w:t>
      </w:r>
    </w:p>
    <w:p w14:paraId="5E176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债的要素与分类依据、合同的成立与效力、履行原则、变更与解除条件</w:t>
      </w:r>
    </w:p>
    <w:p w14:paraId="043F9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：不当得利与无因管理的构成要件与法律后果</w:t>
      </w:r>
    </w:p>
    <w:p w14:paraId="797C9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6.人身权</w:t>
      </w:r>
    </w:p>
    <w:p w14:paraId="4C475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考核知识点：人身权的概念和特征、具体人格权（生命权、健康权、姓名权和名称权、名誉权、肖像权、隐私权等）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280B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043F7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：人身权的概念和特征、具体人格权</w:t>
      </w:r>
    </w:p>
    <w:p w14:paraId="53480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：人身权的保护范围</w:t>
      </w:r>
    </w:p>
    <w:p w14:paraId="7819A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：人格权的类型与侵权认定</w:t>
      </w:r>
    </w:p>
    <w:p w14:paraId="60508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7.侵权的民事责任</w:t>
      </w:r>
    </w:p>
    <w:p w14:paraId="72C35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考核知识点：民事责任的特征、一般侵权的民事责任、特殊侵权的民事责任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0813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2820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：民事责任的特征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一般侵权的民事责任、特殊侵权的民事责任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的概念与特征，</w:t>
      </w:r>
      <w:r>
        <w:rPr>
          <w:rFonts w:hint="eastAsia" w:ascii="宋体" w:hAnsi="宋体" w:eastAsia="宋体" w:cs="宋体"/>
          <w:sz w:val="24"/>
          <w:szCs w:val="24"/>
        </w:rPr>
        <w:t>侵权民事责任与违约民事责任的区别</w:t>
      </w:r>
    </w:p>
    <w:p w14:paraId="2E757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：侵权民事责任的抗辩事由</w:t>
      </w:r>
    </w:p>
    <w:p w14:paraId="34FD0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：民事责任的归责原则</w:t>
      </w:r>
    </w:p>
    <w:p w14:paraId="779F4B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hint="eastAsia" w:ascii="Times New Roman" w:hAnsi="黑体" w:eastAsia="黑体" w:cs="Times New Roman"/>
          <w:b/>
          <w:kern w:val="0"/>
          <w:sz w:val="28"/>
          <w:szCs w:val="28"/>
        </w:rPr>
        <w:t>五、课程考核实施要求</w:t>
      </w:r>
    </w:p>
    <w:p w14:paraId="01AC6EDF">
      <w:pPr>
        <w:pStyle w:val="3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1.考核方式</w:t>
      </w:r>
    </w:p>
    <w:p w14:paraId="59845F5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闭卷考试。</w:t>
      </w:r>
      <w:r>
        <w:rPr>
          <w:rFonts w:hint="eastAsia" w:ascii="宋体" w:hAnsi="宋体" w:eastAsia="宋体" w:cs="宋体"/>
          <w:bCs/>
          <w:sz w:val="24"/>
        </w:rPr>
        <w:t>考试时间为150分钟，满分为200分。</w:t>
      </w:r>
    </w:p>
    <w:p w14:paraId="7C664BD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2.考试命题</w:t>
      </w:r>
    </w:p>
    <w:p w14:paraId="1FC0705B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（1）本考核大纲命题内容覆盖了教材的主要内容。</w:t>
      </w:r>
    </w:p>
    <w:p w14:paraId="2A24E5AD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（2）不同能力层次试题的比例为：识记约占25%，理解约占35%，运用约占40%；</w:t>
      </w:r>
    </w:p>
    <w:p w14:paraId="33C31197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（3）不同难易度试题的比例为：较易占</w:t>
      </w:r>
      <w:r>
        <w:rPr>
          <w:rFonts w:hint="eastAsia" w:ascii="宋体" w:hAnsi="宋体" w:eastAsia="宋体" w:cs="宋体"/>
          <w:sz w:val="24"/>
          <w:lang w:val="en-US" w:eastAsia="zh-CN"/>
        </w:rPr>
        <w:t>30</w:t>
      </w:r>
      <w:r>
        <w:rPr>
          <w:rFonts w:hint="eastAsia" w:ascii="宋体" w:hAnsi="宋体" w:eastAsia="宋体" w:cs="宋体"/>
          <w:sz w:val="24"/>
        </w:rPr>
        <w:t>%，中等占</w:t>
      </w:r>
      <w:r>
        <w:rPr>
          <w:rFonts w:hint="eastAsia" w:ascii="宋体" w:hAnsi="宋体" w:eastAsia="宋体" w:cs="宋体"/>
          <w:sz w:val="24"/>
          <w:lang w:val="en-US" w:eastAsia="zh-CN"/>
        </w:rPr>
        <w:t>45</w:t>
      </w:r>
      <w:r>
        <w:rPr>
          <w:rFonts w:hint="eastAsia" w:ascii="宋体" w:hAnsi="宋体" w:eastAsia="宋体" w:cs="宋体"/>
          <w:sz w:val="24"/>
        </w:rPr>
        <w:t>%，较难占</w:t>
      </w:r>
      <w:r>
        <w:rPr>
          <w:rFonts w:hint="eastAsia" w:ascii="宋体" w:hAnsi="宋体" w:eastAsia="宋体" w:cs="宋体"/>
          <w:sz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</w:rPr>
        <w:t>%；</w:t>
      </w:r>
    </w:p>
    <w:p w14:paraId="36A0D640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（4）试题类型有单项选择题、</w:t>
      </w:r>
      <w:r>
        <w:rPr>
          <w:rFonts w:hint="eastAsia" w:ascii="宋体" w:hAnsi="宋体" w:eastAsia="宋体" w:cs="宋体"/>
          <w:sz w:val="24"/>
          <w:lang w:val="en-US" w:eastAsia="zh-CN"/>
        </w:rPr>
        <w:t>多项选择</w:t>
      </w:r>
      <w:r>
        <w:rPr>
          <w:rFonts w:hint="eastAsia" w:ascii="宋体" w:hAnsi="宋体" w:eastAsia="宋体" w:cs="宋体"/>
          <w:sz w:val="24"/>
        </w:rPr>
        <w:t>题、名词解释</w:t>
      </w:r>
      <w:r>
        <w:rPr>
          <w:rFonts w:hint="eastAsia" w:ascii="宋体" w:hAnsi="宋体" w:eastAsia="宋体" w:cs="宋体"/>
          <w:sz w:val="24"/>
          <w:lang w:val="en-US" w:eastAsia="zh-CN"/>
        </w:rPr>
        <w:t>题</w:t>
      </w:r>
      <w:r>
        <w:rPr>
          <w:rFonts w:hint="eastAsia" w:ascii="宋体" w:hAnsi="宋体" w:eastAsia="宋体" w:cs="宋体"/>
          <w:sz w:val="24"/>
        </w:rPr>
        <w:t>、简答题、案例分析题</w:t>
      </w:r>
      <w:r>
        <w:rPr>
          <w:rFonts w:hint="eastAsia" w:ascii="宋体" w:hAnsi="宋体" w:eastAsia="宋体" w:cs="宋体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</w:rPr>
        <w:t>种形式</w:t>
      </w:r>
      <w:r>
        <w:rPr>
          <w:rFonts w:hint="eastAsia" w:ascii="Times New Roman" w:hAnsi="Times New Roman" w:eastAsia="宋体" w:cs="Times New Roman"/>
          <w:sz w:val="24"/>
        </w:rPr>
        <w:t>，其分值分布如下表：</w:t>
      </w:r>
    </w:p>
    <w:tbl>
      <w:tblPr>
        <w:tblStyle w:val="4"/>
        <w:tblpPr w:leftFromText="180" w:rightFromText="180" w:vertAnchor="text" w:horzAnchor="page" w:tblpX="2287" w:tblpY="457"/>
        <w:tblOverlap w:val="never"/>
        <w:tblW w:w="7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2909"/>
        <w:gridCol w:w="2509"/>
      </w:tblGrid>
      <w:tr w14:paraId="09511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220" w:type="dxa"/>
            <w:vMerge w:val="restart"/>
            <w:noWrap w:val="0"/>
            <w:vAlign w:val="center"/>
          </w:tcPr>
          <w:p w14:paraId="16E79590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试</w:t>
            </w:r>
          </w:p>
          <w:p w14:paraId="0867C087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题</w:t>
            </w:r>
          </w:p>
          <w:p w14:paraId="5E0DF8EB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7B72AAE7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</w:rPr>
              <w:t>题号</w:t>
            </w:r>
          </w:p>
        </w:tc>
        <w:tc>
          <w:tcPr>
            <w:tcW w:w="2909" w:type="dxa"/>
            <w:noWrap w:val="0"/>
            <w:vAlign w:val="center"/>
          </w:tcPr>
          <w:p w14:paraId="79FDB211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题型</w:t>
            </w:r>
          </w:p>
        </w:tc>
        <w:tc>
          <w:tcPr>
            <w:tcW w:w="2509" w:type="dxa"/>
            <w:noWrap w:val="0"/>
            <w:vAlign w:val="center"/>
          </w:tcPr>
          <w:p w14:paraId="36A53CF0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</w:rPr>
            </w:pPr>
            <w:r>
              <w:rPr>
                <w:rFonts w:hint="eastAsia" w:ascii="黑体" w:hAnsi="宋体" w:eastAsia="宋体" w:cs="Times New Roman"/>
                <w:sz w:val="24"/>
              </w:rPr>
              <w:t>分值</w:t>
            </w:r>
          </w:p>
        </w:tc>
      </w:tr>
      <w:tr w14:paraId="51603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7A0B4E39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108F11EE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一</w:t>
            </w:r>
          </w:p>
        </w:tc>
        <w:tc>
          <w:tcPr>
            <w:tcW w:w="2909" w:type="dxa"/>
            <w:noWrap w:val="0"/>
            <w:vAlign w:val="center"/>
          </w:tcPr>
          <w:p w14:paraId="133F9ADD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单</w:t>
            </w: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项</w:t>
            </w: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选择题</w:t>
            </w:r>
          </w:p>
        </w:tc>
        <w:tc>
          <w:tcPr>
            <w:tcW w:w="2509" w:type="dxa"/>
            <w:noWrap w:val="0"/>
            <w:vAlign w:val="center"/>
          </w:tcPr>
          <w:p w14:paraId="3B28BDC1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60</w:t>
            </w:r>
          </w:p>
        </w:tc>
      </w:tr>
      <w:tr w14:paraId="4969C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228EF7BE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0F1FD69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二</w:t>
            </w:r>
          </w:p>
        </w:tc>
        <w:tc>
          <w:tcPr>
            <w:tcW w:w="2909" w:type="dxa"/>
            <w:noWrap w:val="0"/>
            <w:vAlign w:val="center"/>
          </w:tcPr>
          <w:p w14:paraId="47079405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多项选择</w:t>
            </w:r>
            <w:bookmarkStart w:id="0" w:name="_GoBack"/>
            <w:bookmarkEnd w:id="0"/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题</w:t>
            </w:r>
          </w:p>
        </w:tc>
        <w:tc>
          <w:tcPr>
            <w:tcW w:w="2509" w:type="dxa"/>
            <w:noWrap w:val="0"/>
            <w:vAlign w:val="center"/>
          </w:tcPr>
          <w:p w14:paraId="2F7DE3A1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20</w:t>
            </w:r>
          </w:p>
        </w:tc>
      </w:tr>
      <w:tr w14:paraId="67FD9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60F08046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3EE7CC3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三</w:t>
            </w:r>
          </w:p>
        </w:tc>
        <w:tc>
          <w:tcPr>
            <w:tcW w:w="2909" w:type="dxa"/>
            <w:noWrap w:val="0"/>
            <w:vAlign w:val="center"/>
          </w:tcPr>
          <w:p w14:paraId="78FD4841"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名词解释题</w:t>
            </w:r>
          </w:p>
        </w:tc>
        <w:tc>
          <w:tcPr>
            <w:tcW w:w="2509" w:type="dxa"/>
            <w:noWrap w:val="0"/>
            <w:vAlign w:val="center"/>
          </w:tcPr>
          <w:p w14:paraId="1CD8CBA8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30</w:t>
            </w:r>
          </w:p>
        </w:tc>
      </w:tr>
      <w:tr w14:paraId="6705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566F5B74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7646A880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四</w:t>
            </w:r>
          </w:p>
        </w:tc>
        <w:tc>
          <w:tcPr>
            <w:tcW w:w="2909" w:type="dxa"/>
            <w:noWrap w:val="0"/>
            <w:vAlign w:val="center"/>
          </w:tcPr>
          <w:p w14:paraId="6A15174D"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简答题</w:t>
            </w:r>
          </w:p>
        </w:tc>
        <w:tc>
          <w:tcPr>
            <w:tcW w:w="2509" w:type="dxa"/>
            <w:noWrap w:val="0"/>
            <w:vAlign w:val="center"/>
          </w:tcPr>
          <w:p w14:paraId="5D85EEC7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60</w:t>
            </w:r>
          </w:p>
        </w:tc>
      </w:tr>
      <w:tr w14:paraId="07E94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7625A4D1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ACC42FA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五</w:t>
            </w:r>
          </w:p>
        </w:tc>
        <w:tc>
          <w:tcPr>
            <w:tcW w:w="2909" w:type="dxa"/>
            <w:noWrap w:val="0"/>
            <w:vAlign w:val="center"/>
          </w:tcPr>
          <w:p w14:paraId="759CA5B9"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案例分析题</w:t>
            </w:r>
          </w:p>
        </w:tc>
        <w:tc>
          <w:tcPr>
            <w:tcW w:w="2509" w:type="dxa"/>
            <w:noWrap w:val="0"/>
            <w:vAlign w:val="center"/>
          </w:tcPr>
          <w:p w14:paraId="127F1BFD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30</w:t>
            </w:r>
          </w:p>
        </w:tc>
      </w:tr>
      <w:tr w14:paraId="440D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2BA6F3C6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4129" w:type="dxa"/>
            <w:gridSpan w:val="2"/>
            <w:noWrap w:val="0"/>
            <w:vAlign w:val="center"/>
          </w:tcPr>
          <w:p w14:paraId="49CD6041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合计</w:t>
            </w:r>
          </w:p>
        </w:tc>
        <w:tc>
          <w:tcPr>
            <w:tcW w:w="2509" w:type="dxa"/>
            <w:noWrap w:val="0"/>
            <w:vAlign w:val="center"/>
          </w:tcPr>
          <w:p w14:paraId="12C936F0">
            <w:pPr>
              <w:spacing w:line="300" w:lineRule="auto"/>
              <w:jc w:val="center"/>
              <w:rPr>
                <w:rFonts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200</w:t>
            </w:r>
          </w:p>
        </w:tc>
      </w:tr>
    </w:tbl>
    <w:p w14:paraId="7F460E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0187C21">
      <w:pPr>
        <w:pStyle w:val="3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3.课程考核成绩评定</w:t>
      </w:r>
    </w:p>
    <w:p w14:paraId="33E9865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考试卷面成绩即为本课程成绩。</w:t>
      </w:r>
    </w:p>
    <w:p w14:paraId="13842E03"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六、教材和参考书</w:t>
      </w:r>
    </w:p>
    <w:p w14:paraId="399449D8">
      <w:pPr>
        <w:pStyle w:val="3"/>
        <w:spacing w:line="360" w:lineRule="auto"/>
        <w:ind w:firstLine="480" w:firstLineChars="200"/>
        <w:rPr>
          <w:rFonts w:hAnsi="黑体" w:cs="Times New Roman"/>
          <w:sz w:val="24"/>
          <w:szCs w:val="24"/>
        </w:rPr>
      </w:pPr>
      <w:r>
        <w:rPr>
          <w:rFonts w:hAnsi="黑体" w:cs="Times New Roman"/>
          <w:sz w:val="24"/>
          <w:szCs w:val="24"/>
        </w:rPr>
        <w:t>1.</w:t>
      </w:r>
      <w:r>
        <w:rPr>
          <w:rFonts w:hint="eastAsia" w:hAnsi="黑体" w:cs="Times New Roman"/>
          <w:sz w:val="24"/>
          <w:szCs w:val="24"/>
        </w:rPr>
        <w:t>教材</w:t>
      </w:r>
    </w:p>
    <w:p w14:paraId="6ADCB5E9">
      <w:pPr>
        <w:pStyle w:val="3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[1]马克思主义理论研究和建设工程重点教材.《法理学》编写组：《法理学》（第二版）[M].</w:t>
      </w:r>
      <w:r>
        <w:rPr>
          <w:rFonts w:hint="eastAsia" w:ascii="宋体" w:hAnsi="宋体" w:eastAsia="宋体" w:cs="Times New Roman"/>
          <w:sz w:val="24"/>
          <w:lang w:val="en-US" w:eastAsia="zh-CN"/>
        </w:rPr>
        <w:t>北京：</w:t>
      </w:r>
      <w:r>
        <w:rPr>
          <w:rFonts w:hint="eastAsia" w:ascii="宋体" w:hAnsi="宋体" w:eastAsia="宋体" w:cs="Times New Roman"/>
          <w:sz w:val="24"/>
        </w:rPr>
        <w:t>高等教育出版社，2021年2月第2版。</w:t>
      </w:r>
    </w:p>
    <w:p w14:paraId="0E01D008">
      <w:pPr>
        <w:pStyle w:val="3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[2]马克思主义理论研究和建设工程重点教材.《民法学》编写组：《民法学》（第二版）上册[M].北京：高等教育出版社，2022年8月第2版。</w:t>
      </w:r>
    </w:p>
    <w:p w14:paraId="02021EAB">
      <w:pPr>
        <w:pStyle w:val="3"/>
        <w:spacing w:line="360" w:lineRule="auto"/>
        <w:ind w:firstLine="480" w:firstLineChars="200"/>
        <w:rPr>
          <w:rFonts w:hAnsi="黑体" w:cs="Times New Roman"/>
          <w:sz w:val="24"/>
          <w:szCs w:val="24"/>
        </w:rPr>
      </w:pPr>
      <w:r>
        <w:rPr>
          <w:rFonts w:hAnsi="黑体" w:cs="Times New Roman"/>
          <w:sz w:val="24"/>
          <w:szCs w:val="24"/>
        </w:rPr>
        <w:t>2.</w:t>
      </w:r>
      <w:r>
        <w:rPr>
          <w:rFonts w:hint="eastAsia" w:hAnsi="黑体" w:cs="Times New Roman"/>
          <w:sz w:val="24"/>
          <w:szCs w:val="24"/>
        </w:rPr>
        <w:t>参考书目</w:t>
      </w:r>
    </w:p>
    <w:p w14:paraId="71C72820">
      <w:pPr>
        <w:spacing w:line="360" w:lineRule="auto"/>
        <w:ind w:left="479" w:leftChars="228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魏振瀛主编.</w:t>
      </w:r>
      <w:r>
        <w:rPr>
          <w:rFonts w:hint="eastAsia" w:ascii="宋体" w:hAnsi="宋体" w:eastAsia="宋体" w:cs="Times New Roman"/>
          <w:sz w:val="24"/>
          <w:lang w:val="en-US" w:eastAsia="zh-CN"/>
        </w:rPr>
        <w:t>民法</w:t>
      </w: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第九版</w:t>
      </w:r>
      <w:r>
        <w:rPr>
          <w:rFonts w:hint="eastAsia" w:ascii="宋体" w:hAnsi="宋体" w:eastAsia="宋体" w:cs="Times New Roman"/>
          <w:sz w:val="24"/>
        </w:rPr>
        <w:t>）[M].</w:t>
      </w:r>
      <w:r>
        <w:rPr>
          <w:rFonts w:hint="eastAsia" w:ascii="宋体" w:hAnsi="宋体" w:eastAsia="宋体" w:cs="Times New Roman"/>
          <w:sz w:val="24"/>
          <w:lang w:val="en-US" w:eastAsia="zh-CN"/>
        </w:rPr>
        <w:t>北京</w:t>
      </w:r>
      <w:r>
        <w:rPr>
          <w:rFonts w:hint="eastAsia" w:ascii="宋体" w:hAnsi="宋体" w:eastAsia="宋体" w:cs="Times New Roman"/>
          <w:sz w:val="24"/>
        </w:rPr>
        <w:t>：北京大学出版社,202</w:t>
      </w:r>
      <w:r>
        <w:rPr>
          <w:rFonts w:hint="eastAsia" w:ascii="宋体" w:hAnsi="宋体" w:eastAsia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</w:rPr>
        <w:t>版.</w:t>
      </w:r>
    </w:p>
    <w:p w14:paraId="68476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3Y2I3OTRlNTA1NjUwZGY1NGI3NTM4NWZhMGI4N2IifQ=="/>
    <w:docVar w:name="KSO_WPS_MARK_KEY" w:val="6c8f8d9e-f3d0-47c3-aa51-d72391fad488"/>
  </w:docVars>
  <w:rsids>
    <w:rsidRoot w:val="3DAA7570"/>
    <w:rsid w:val="098A6BF5"/>
    <w:rsid w:val="0E4F019C"/>
    <w:rsid w:val="0EF63E50"/>
    <w:rsid w:val="1DF428A9"/>
    <w:rsid w:val="248C2743"/>
    <w:rsid w:val="2FF16992"/>
    <w:rsid w:val="31B9703B"/>
    <w:rsid w:val="3DAA7570"/>
    <w:rsid w:val="46533DD4"/>
    <w:rsid w:val="51D72D13"/>
    <w:rsid w:val="52FA4E80"/>
    <w:rsid w:val="537F3F87"/>
    <w:rsid w:val="65115EE0"/>
    <w:rsid w:val="68732753"/>
    <w:rsid w:val="6B6A4927"/>
    <w:rsid w:val="760865B3"/>
    <w:rsid w:val="7F30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2342</Words>
  <Characters>2412</Characters>
  <Lines>0</Lines>
  <Paragraphs>0</Paragraphs>
  <TotalTime>10</TotalTime>
  <ScaleCrop>false</ScaleCrop>
  <LinksUpToDate>false</LinksUpToDate>
  <CharactersWithSpaces>2435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2025-01-13T08:06:00Z</dcterms:created>
  <dc:creator>en？</dc:creator>
  <cp:lastModifiedBy>独角羊</cp:lastModifiedBy>
  <dcterms:modified xsi:type="dcterms:W3CDTF">2025-02-13T03:41:39Z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500E8F84F9344D0F9AC0BAF39BA195D4_13</vt:lpwstr>
  </property>
  <property fmtid="{D5CDD505-2E9C-101B-9397-08002B2CF9AE}" pid="4" name="KSOTemplateDocerSaveRecord">
    <vt:lpwstr>eyJoZGlkIjoiOTJkOTkxNjZmMzkzOTkwYTM2NjgyNDUwMGRjYTBjZjIiLCJ1c2VySWQiOiIzMDAxNzY5MDIifQ==</vt:lpwstr>
  </property>
</Properties>
</file>